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F70DC" w14:textId="2392FBC3" w:rsidR="00EB49AB" w:rsidRPr="00E25773" w:rsidRDefault="00EB49AB" w:rsidP="00B972F5">
      <w:pPr>
        <w:pStyle w:val="Heading1"/>
        <w:jc w:val="center"/>
      </w:pPr>
      <w:r w:rsidRPr="00E25773">
        <w:t xml:space="preserve">Laboratory analyses on split core to assess the geothermal potential of the South Slave </w:t>
      </w:r>
      <w:r w:rsidR="0018039A" w:rsidRPr="00E25773">
        <w:t>Region</w:t>
      </w:r>
      <w:r w:rsidR="0018039A">
        <w:t>,</w:t>
      </w:r>
      <w:r w:rsidR="0018039A" w:rsidRPr="00E25773">
        <w:t xml:space="preserve"> Northwest</w:t>
      </w:r>
      <w:r w:rsidRPr="00E25773">
        <w:t xml:space="preserve"> Territories</w:t>
      </w:r>
    </w:p>
    <w:p w14:paraId="5314243F" w14:textId="77777777" w:rsidR="00EB49AB" w:rsidRPr="00EB49AB" w:rsidRDefault="00EB49AB" w:rsidP="00EB49AB"/>
    <w:p w14:paraId="3219D4C1" w14:textId="2D002424" w:rsidR="00BF6499" w:rsidRDefault="00BF6499" w:rsidP="00BF6499">
      <w:pPr>
        <w:pStyle w:val="p1"/>
        <w:jc w:val="center"/>
      </w:pPr>
      <w:r>
        <w:t>Report for SR-2023-002 and SR-2023-004</w:t>
      </w:r>
    </w:p>
    <w:p w14:paraId="5E75475D" w14:textId="77777777" w:rsidR="0063574F" w:rsidRDefault="0063574F" w:rsidP="00BF6499">
      <w:pPr>
        <w:pStyle w:val="p1"/>
        <w:jc w:val="center"/>
      </w:pPr>
    </w:p>
    <w:p w14:paraId="772954AC" w14:textId="77777777" w:rsidR="00BF6499" w:rsidRDefault="00BF6499" w:rsidP="00BF6499">
      <w:pPr>
        <w:pStyle w:val="p1"/>
      </w:pPr>
    </w:p>
    <w:p w14:paraId="1CC72AEE" w14:textId="2D0F05EC" w:rsidR="00DD717C" w:rsidRDefault="00BF6499" w:rsidP="00DD717C">
      <w:pPr>
        <w:pStyle w:val="p1"/>
        <w:jc w:val="center"/>
      </w:pPr>
      <w:r>
        <w:t>Submitted: 2025</w:t>
      </w:r>
    </w:p>
    <w:p w14:paraId="6068E75A" w14:textId="77777777" w:rsidR="0063574F" w:rsidRDefault="0063574F" w:rsidP="00DD717C">
      <w:pPr>
        <w:pStyle w:val="p1"/>
        <w:jc w:val="center"/>
      </w:pPr>
    </w:p>
    <w:p w14:paraId="6E322B39" w14:textId="3BBF065F" w:rsidR="0063574F" w:rsidRDefault="0063574F" w:rsidP="00DD717C">
      <w:pPr>
        <w:pStyle w:val="p1"/>
        <w:jc w:val="center"/>
      </w:pPr>
      <w:r>
        <w:t>Michaël Thibault and Jasmin Raymond</w:t>
      </w:r>
    </w:p>
    <w:p w14:paraId="2FF83E79" w14:textId="03269E2A" w:rsidR="00DD717C" w:rsidRDefault="00BF6499">
      <w:r>
        <w:br w:type="page"/>
      </w:r>
    </w:p>
    <w:p w14:paraId="7D69BC3D" w14:textId="43FACD02" w:rsidR="00802F67" w:rsidRDefault="00BF6499" w:rsidP="00681BEC">
      <w:pPr>
        <w:pStyle w:val="Heading2"/>
      </w:pPr>
      <w:r>
        <w:lastRenderedPageBreak/>
        <w:t xml:space="preserve">Introduction </w:t>
      </w:r>
    </w:p>
    <w:p w14:paraId="02D9660D" w14:textId="31FA39B0" w:rsidR="002C06A4" w:rsidRDefault="002C06A4" w:rsidP="002C06A4">
      <w:r w:rsidRPr="005401F3">
        <w:t>The Energy Geosciences Group of the Northwest</w:t>
      </w:r>
      <w:r>
        <w:t xml:space="preserve"> </w:t>
      </w:r>
      <w:r w:rsidRPr="005401F3">
        <w:t>Territories Geological Survey (NTGS) is currently partnering with the Institut national de la recherche scientifique</w:t>
      </w:r>
      <w:r>
        <w:t xml:space="preserve"> </w:t>
      </w:r>
      <w:r w:rsidRPr="005401F3">
        <w:t xml:space="preserve">(INRS) to </w:t>
      </w:r>
      <w:r>
        <w:t>assess</w:t>
      </w:r>
      <w:r w:rsidRPr="005401F3">
        <w:t xml:space="preserve"> the geothermal potential of the South Slave Region </w:t>
      </w:r>
      <w:r w:rsidRPr="002511F3">
        <w:t>(Northwest Territories, Canada)</w:t>
      </w:r>
      <w:r>
        <w:t xml:space="preserve">. This </w:t>
      </w:r>
      <w:r w:rsidRPr="005401F3">
        <w:t>project</w:t>
      </w:r>
      <w:r>
        <w:t xml:space="preserve">, initiated in summer 2022, aims to evaluate subsurface thermal properties and temperature </w:t>
      </w:r>
      <w:r w:rsidR="00064DBB">
        <w:t xml:space="preserve">to </w:t>
      </w:r>
      <w:r w:rsidR="00D86991">
        <w:t>evaluate</w:t>
      </w:r>
      <w:r>
        <w:t xml:space="preserve"> the performances of closed-loop geothermal systems for communities of Hay River, Fort Providence, Kakisa and Enterprise.</w:t>
      </w:r>
    </w:p>
    <w:p w14:paraId="2AE31F1E" w14:textId="1FC7A200" w:rsidR="002C06A4" w:rsidRDefault="002C06A4" w:rsidP="002C06A4">
      <w:r w:rsidRPr="002511F3">
        <w:t>The South Slave Region</w:t>
      </w:r>
      <w:r>
        <w:t xml:space="preserve"> in known for the potentially</w:t>
      </w:r>
      <w:r w:rsidRPr="002511F3">
        <w:t xml:space="preserve"> highest heat flow (&gt;100</w:t>
      </w:r>
      <w:r>
        <w:t> </w:t>
      </w:r>
      <w:r w:rsidRPr="002511F3">
        <w:t>mW</w:t>
      </w:r>
      <w:r>
        <w:t>/</w:t>
      </w:r>
      <w:r w:rsidRPr="002511F3">
        <w:t>m</w:t>
      </w:r>
      <w:r w:rsidRPr="00E25068">
        <w:rPr>
          <w:vertAlign w:val="superscript"/>
        </w:rPr>
        <w:t>2</w:t>
      </w:r>
      <w:r w:rsidRPr="002511F3">
        <w:t>) in the Western Canadian Sedimentary Basin</w:t>
      </w:r>
      <w:r>
        <w:t xml:space="preserve"> </w:t>
      </w:r>
      <w:r>
        <w:fldChar w:fldCharType="begin"/>
      </w:r>
      <w:r>
        <w:instrText xml:space="preserve"> ADDIN ZOTERO_ITEM CSL_CITATION {"citationID":"a2iuhlj03eg","properties":{"formattedCitation":"(Rajaobelison et al., 2024; Thibault et al., 2024)","plainCitation":"(Rajaobelison et al., 2024; Thibault et al., 2024)","noteIndex":0},"citationItems":[{"id":2274,"uris":["http://zotero.org/users/11296558/items/GS8ETYVF"],"itemData":{"id":2274,"type":"article-journal","abstract":"Despite the elevated heat flow known in the Western part of the South Slave Region (Northwest Territories, Canada), a continuous and equilibrium geothermal gradient was never measured in boreholes below the communities where geothermal energy could be developed. This paper aims to predict the geothermal gradient and assess the Earth’s natural heat flow below the communities of Fort Providence, Kakisa, Hay River, and Enterprise. Temperatures from drill-stem tests and bottom well logs were corrected for drilling disturbance and paleoclimate. The thermal conductivity and heat generation rate of the geological formations were determined from the literature and with new laboratory measurements. Original 1D models were developed to evaluate subsurface temperature through the sedimentary formations based on a thermostratigraphic assessment. The results indicate a geothermal gradient that varies from 44.1 ± 10.6 °C km−1 to 59.1 ± 14.9 °C km−1 and heat flow that varies from 105.5 mW m−2 to 160.2 mW m−2 below the communities. These estimates were in agreement with the equilibrium geothermal gradients measured in Cameron Hills, south of the four communities, and were used to verify our predictions. The highest geothermal gradient (59.1 ± 14.9 °C km−1) was estimated at Hay River, which, therefore, has the most favorable geological conditions for geothermal development.","container-title":"Energies","DOI":"10.3390/en17164165","ISSN":"1996-1073","issue":"16","language":"en","license":"http://creativecommons.org/licenses/by/3.0/","note":"number: 16\npublisher: Multidisciplinary Digital Publishing Institute","page":"4165","source":"www.mdpi.com","title":"Thermostratigraphic and Heat Flow Assessment of the South Slave Region in the Northwest Territories, Canada","volume":"17","author":[{"family":"Rajaobelison","given":"Mirah"},{"family":"Thibault","given":"Michaël"},{"family":"Comeau","given":"Félix-Antoine"},{"family":"Raymond","given":"Jasmin"},{"family":"Smejkal","given":"Emily J."},{"family":"Terlaky","given":"Viktor"}],"issued":{"date-parts":[["2024",1]]}},"label":"page"},{"id":2287,"uris":["http://zotero.org/users/11296558/items/7Z2GEFEU"],"itemData":{"id":2287,"type":"paper-conference","container-title":"GRC Transactions","event-place":"Waikoloa, HI, USA","event-title":"Geothermal Rising Conference","language":"English","page":"28","publisher-place":"Waikoloa, HI, USA","title":"Evaluation of the Precambrian Basement Temperature Below Four South Slave Communities, Northwest Territories, Canada","volume":"48","author":[{"family":"Thibault","given":"Michaël"},{"family":"Comeau","given":"Felix-Antoine"},{"family":"Raymond","given":"Jasmin"},{"family":"Rajaobelison","given":"Mirah"},{"family":"Terlaky","given":"Viktor"},{"family":"Newson","given":"Juliet"}],"issued":{"date-parts":[["2024"]]}},"label":"page"}],"schema":"https://github.com/citation-style-language/schema/raw/master/csl-citation.json"} </w:instrText>
      </w:r>
      <w:r>
        <w:fldChar w:fldCharType="separate"/>
      </w:r>
      <w:r>
        <w:t>(Rajaobelison et al., 2024; Thibault et al., 2024)</w:t>
      </w:r>
      <w:r>
        <w:fldChar w:fldCharType="end"/>
      </w:r>
      <w:r>
        <w:t>. Yet, no in-depth study has been conducted on the communities’ deep geothermal resources</w:t>
      </w:r>
      <w:r w:rsidR="00A55084">
        <w:t>.</w:t>
      </w:r>
    </w:p>
    <w:p w14:paraId="378225F2" w14:textId="5833FAC8" w:rsidR="00DD717C" w:rsidRPr="00681BEC" w:rsidRDefault="002C06A4" w:rsidP="002C06A4">
      <w:r w:rsidRPr="002E1929">
        <w:t xml:space="preserve">This report objective is to improve our knowledge of the rock thermal </w:t>
      </w:r>
      <w:r w:rsidR="00902477">
        <w:t>properties</w:t>
      </w:r>
      <w:r w:rsidRPr="002E1929">
        <w:t xml:space="preserve"> in the South Slave region, building upon our prior research </w:t>
      </w:r>
      <w:r w:rsidRPr="002E1929">
        <w:fldChar w:fldCharType="begin"/>
      </w:r>
      <w:r>
        <w:instrText xml:space="preserve"> ADDIN ZOTERO_ITEM CSL_CITATION {"citationID":"a1pdqia3oee","properties":{"formattedCitation":"(Rajaobelison et al., In press)","plainCitation":"(Rajaobelison et al., In press)","noteIndex":0},"citationItems":[{"id":62,"uris":["http://zotero.org/users/11296558/items/9EJPLL2E"],"itemData":{"id":62,"type":"report","genre":"Open Report","number":"2023-015","page":"71","publisher":"Institut national de la recherche scientifique &amp; Northwest Territories Geological Survey","title":"Laboratory analyses on split core samples from wells to assess the geothermal potential of the South Slave Region, Northwest Territories, Canada","author":[{"family":"Rajaobelison","given":"Mirah"},{"family":"Thibault","given":"Michaël"},{"family":"Comeau","given":"Felix-Antoine"},{"family":"Raymond","given":"Jasmin"},{"family":"Terlaky","given":"Viktor"}],"issued":{"literal":"In press"}}}],"schema":"https://github.com/citation-style-language/schema/raw/master/csl-citation.json"} </w:instrText>
      </w:r>
      <w:r w:rsidRPr="002E1929">
        <w:fldChar w:fldCharType="separate"/>
      </w:r>
      <w:r w:rsidRPr="002E1929">
        <w:t>(Rajaobelison et al., In press)</w:t>
      </w:r>
      <w:r w:rsidRPr="002E1929">
        <w:fldChar w:fldCharType="end"/>
      </w:r>
      <w:r>
        <w:t>.</w:t>
      </w:r>
    </w:p>
    <w:p w14:paraId="00AF2474" w14:textId="65E4DFF6" w:rsidR="00DD717C" w:rsidRDefault="00BF6499" w:rsidP="00681BEC">
      <w:pPr>
        <w:pStyle w:val="Heading2"/>
        <w:rPr>
          <w:lang w:val="en-CA"/>
        </w:rPr>
      </w:pPr>
      <w:r>
        <w:rPr>
          <w:lang w:val="en-CA"/>
        </w:rPr>
        <w:t xml:space="preserve">Summary of the </w:t>
      </w:r>
      <w:r w:rsidR="00A02B62">
        <w:rPr>
          <w:lang w:val="en-CA"/>
        </w:rPr>
        <w:t>Sampling and Laboratory Analysis</w:t>
      </w:r>
      <w:r>
        <w:rPr>
          <w:lang w:val="en-CA"/>
        </w:rPr>
        <w:t xml:space="preserve"> </w:t>
      </w:r>
      <w:r w:rsidR="00A55084">
        <w:rPr>
          <w:lang w:val="en-CA"/>
        </w:rPr>
        <w:t>P</w:t>
      </w:r>
      <w:r>
        <w:rPr>
          <w:lang w:val="en-CA"/>
        </w:rPr>
        <w:t>rocedures</w:t>
      </w:r>
    </w:p>
    <w:p w14:paraId="5751488C" w14:textId="74B4DE24" w:rsidR="00681BEC" w:rsidRPr="00681BEC" w:rsidRDefault="00681BEC" w:rsidP="00EB49AB">
      <w:pPr>
        <w:rPr>
          <w:lang w:val="en-CA"/>
        </w:rPr>
      </w:pPr>
      <w:r w:rsidRPr="00BF6499">
        <w:rPr>
          <w:lang w:val="en-CA"/>
        </w:rPr>
        <w:t>Core sampling was authorized and approved by the Office of the Regulator of Oil and Gas</w:t>
      </w:r>
      <w:r>
        <w:rPr>
          <w:lang w:val="en-CA"/>
        </w:rPr>
        <w:t xml:space="preserve"> </w:t>
      </w:r>
      <w:r w:rsidRPr="00BF6499">
        <w:rPr>
          <w:lang w:val="en-CA"/>
        </w:rPr>
        <w:t>Operations (OROGO) in Ju</w:t>
      </w:r>
      <w:r>
        <w:rPr>
          <w:lang w:val="en-CA"/>
        </w:rPr>
        <w:t>ly of 2023 f</w:t>
      </w:r>
      <w:r w:rsidRPr="00BF6499">
        <w:rPr>
          <w:lang w:val="en-CA"/>
        </w:rPr>
        <w:t>or SR</w:t>
      </w:r>
      <w:r>
        <w:rPr>
          <w:lang w:val="en-CA"/>
        </w:rPr>
        <w:t>-</w:t>
      </w:r>
      <w:r w:rsidRPr="00BF6499">
        <w:rPr>
          <w:lang w:val="en-CA"/>
        </w:rPr>
        <w:t>202</w:t>
      </w:r>
      <w:r>
        <w:rPr>
          <w:lang w:val="en-CA"/>
        </w:rPr>
        <w:t>3</w:t>
      </w:r>
      <w:r w:rsidRPr="00BF6499">
        <w:rPr>
          <w:lang w:val="en-CA"/>
        </w:rPr>
        <w:t>-00</w:t>
      </w:r>
      <w:r>
        <w:rPr>
          <w:lang w:val="en-CA"/>
        </w:rPr>
        <w:t xml:space="preserve">2 </w:t>
      </w:r>
      <w:r w:rsidRPr="00BF6499">
        <w:rPr>
          <w:lang w:val="en-CA"/>
        </w:rPr>
        <w:t>and sampling at the Geological Survey of</w:t>
      </w:r>
      <w:r>
        <w:rPr>
          <w:lang w:val="en-CA"/>
        </w:rPr>
        <w:t xml:space="preserve"> </w:t>
      </w:r>
      <w:r w:rsidRPr="00BF6499">
        <w:rPr>
          <w:lang w:val="en-CA"/>
        </w:rPr>
        <w:t xml:space="preserve">Canada’s Core Repository in Calgary was conducted </w:t>
      </w:r>
      <w:r>
        <w:rPr>
          <w:lang w:val="en-CA"/>
        </w:rPr>
        <w:t xml:space="preserve">August </w:t>
      </w:r>
      <w:r w:rsidRPr="00BF6499">
        <w:rPr>
          <w:lang w:val="en-CA"/>
        </w:rPr>
        <w:t>202</w:t>
      </w:r>
      <w:r>
        <w:rPr>
          <w:lang w:val="en-CA"/>
        </w:rPr>
        <w:t>3 with a total of 22 samples from 7 wells (</w:t>
      </w:r>
      <w:r>
        <w:rPr>
          <w:lang w:val="en-CA"/>
        </w:rPr>
        <w:fldChar w:fldCharType="begin"/>
      </w:r>
      <w:r>
        <w:rPr>
          <w:lang w:val="en-CA"/>
        </w:rPr>
        <w:instrText xml:space="preserve"> REF _Ref212814783 \h </w:instrText>
      </w:r>
      <w:r>
        <w:rPr>
          <w:lang w:val="en-CA"/>
        </w:rPr>
      </w:r>
      <w:r>
        <w:rPr>
          <w:lang w:val="en-CA"/>
        </w:rPr>
        <w:fldChar w:fldCharType="separate"/>
      </w:r>
      <w:r w:rsidR="002948B9">
        <w:t xml:space="preserve">Table </w:t>
      </w:r>
      <w:r w:rsidR="002948B9">
        <w:rPr>
          <w:noProof/>
        </w:rPr>
        <w:t>1</w:t>
      </w:r>
      <w:r>
        <w:rPr>
          <w:lang w:val="en-CA"/>
        </w:rPr>
        <w:fldChar w:fldCharType="end"/>
      </w:r>
      <w:r>
        <w:rPr>
          <w:lang w:val="en-CA"/>
        </w:rPr>
        <w:t xml:space="preserve">). For </w:t>
      </w:r>
      <w:r w:rsidRPr="00BF6499">
        <w:rPr>
          <w:lang w:val="en-CA"/>
        </w:rPr>
        <w:t>SR</w:t>
      </w:r>
      <w:r w:rsidR="00812344">
        <w:rPr>
          <w:lang w:val="en-CA"/>
        </w:rPr>
        <w:t>-</w:t>
      </w:r>
      <w:r w:rsidRPr="00BF6499">
        <w:rPr>
          <w:lang w:val="en-CA"/>
        </w:rPr>
        <w:t>202</w:t>
      </w:r>
      <w:r>
        <w:rPr>
          <w:lang w:val="en-CA"/>
        </w:rPr>
        <w:t>3</w:t>
      </w:r>
      <w:r w:rsidRPr="00BF6499">
        <w:rPr>
          <w:lang w:val="en-CA"/>
        </w:rPr>
        <w:t>-00</w:t>
      </w:r>
      <w:r>
        <w:rPr>
          <w:lang w:val="en-CA"/>
        </w:rPr>
        <w:t>4</w:t>
      </w:r>
      <w:r w:rsidR="00A02B62">
        <w:rPr>
          <w:lang w:val="en-CA"/>
        </w:rPr>
        <w:t>,</w:t>
      </w:r>
      <w:r>
        <w:rPr>
          <w:lang w:val="en-CA"/>
        </w:rPr>
        <w:t xml:space="preserve"> sampling was authori</w:t>
      </w:r>
      <w:r w:rsidR="00A55084">
        <w:rPr>
          <w:lang w:val="en-CA"/>
        </w:rPr>
        <w:t>z</w:t>
      </w:r>
      <w:r>
        <w:rPr>
          <w:lang w:val="en-CA"/>
        </w:rPr>
        <w:t xml:space="preserve">ed in November </w:t>
      </w:r>
      <w:proofErr w:type="gramStart"/>
      <w:r>
        <w:rPr>
          <w:lang w:val="en-CA"/>
        </w:rPr>
        <w:t>2023</w:t>
      </w:r>
      <w:proofErr w:type="gramEnd"/>
      <w:r w:rsidRPr="00BF6499">
        <w:rPr>
          <w:lang w:val="en-CA"/>
        </w:rPr>
        <w:t xml:space="preserve"> </w:t>
      </w:r>
      <w:r>
        <w:rPr>
          <w:lang w:val="en-CA"/>
        </w:rPr>
        <w:t xml:space="preserve">and sampling </w:t>
      </w:r>
      <w:r w:rsidR="00F835A8">
        <w:rPr>
          <w:lang w:val="en-CA"/>
        </w:rPr>
        <w:t xml:space="preserve">was made </w:t>
      </w:r>
      <w:r>
        <w:rPr>
          <w:lang w:val="en-CA"/>
        </w:rPr>
        <w:t>in December 2025, with 8 samples from 4 wells (</w:t>
      </w:r>
      <w:r>
        <w:rPr>
          <w:lang w:val="en-CA"/>
        </w:rPr>
        <w:fldChar w:fldCharType="begin"/>
      </w:r>
      <w:r>
        <w:rPr>
          <w:lang w:val="en-CA"/>
        </w:rPr>
        <w:instrText xml:space="preserve"> REF _Ref212814824 \h </w:instrText>
      </w:r>
      <w:r>
        <w:rPr>
          <w:lang w:val="en-CA"/>
        </w:rPr>
      </w:r>
      <w:r>
        <w:rPr>
          <w:lang w:val="en-CA"/>
        </w:rPr>
        <w:fldChar w:fldCharType="separate"/>
      </w:r>
      <w:r w:rsidR="002948B9">
        <w:t xml:space="preserve">Table </w:t>
      </w:r>
      <w:r w:rsidR="002948B9">
        <w:rPr>
          <w:noProof/>
        </w:rPr>
        <w:t>2</w:t>
      </w:r>
      <w:r>
        <w:rPr>
          <w:lang w:val="en-CA"/>
        </w:rPr>
        <w:fldChar w:fldCharType="end"/>
      </w:r>
      <w:r>
        <w:rPr>
          <w:lang w:val="en-CA"/>
        </w:rPr>
        <w:t xml:space="preserve">). </w:t>
      </w:r>
    </w:p>
    <w:p w14:paraId="40AD9EB2" w14:textId="1825DEFD" w:rsidR="00EB49AB" w:rsidRPr="002E1929" w:rsidRDefault="00EB49AB" w:rsidP="00EB49AB">
      <w:r w:rsidRPr="002E1929">
        <w:t>Thermal properties (</w:t>
      </w:r>
      <w:r w:rsidR="00932A89">
        <w:t xml:space="preserve">thermal </w:t>
      </w:r>
      <w:r w:rsidRPr="002E1929">
        <w:t xml:space="preserve">conductivity, </w:t>
      </w:r>
      <w:r w:rsidR="00932A89">
        <w:t xml:space="preserve">thermal </w:t>
      </w:r>
      <w:r w:rsidRPr="002E1929">
        <w:t>diffusivity</w:t>
      </w:r>
      <w:r w:rsidR="00932A89">
        <w:t xml:space="preserve"> and</w:t>
      </w:r>
      <w:r w:rsidRPr="002E1929">
        <w:t xml:space="preserve"> heat capacity) of rock samples were measured at the Laboratoire </w:t>
      </w:r>
      <w:r w:rsidR="00932A89">
        <w:t>o</w:t>
      </w:r>
      <w:r w:rsidR="00932A89" w:rsidRPr="002E1929">
        <w:t xml:space="preserve">uvert </w:t>
      </w:r>
      <w:r w:rsidRPr="002E1929">
        <w:t xml:space="preserve">de </w:t>
      </w:r>
      <w:r w:rsidR="00932A89">
        <w:t>g</w:t>
      </w:r>
      <w:r w:rsidR="00932A89" w:rsidRPr="002E1929">
        <w:t>éothermie</w:t>
      </w:r>
      <w:r w:rsidRPr="002E1929">
        <w:t xml:space="preserve"> (LOG) at INRS with an optical scanning instrument developed by </w:t>
      </w:r>
      <w:r w:rsidRPr="002E1929">
        <w:fldChar w:fldCharType="begin"/>
      </w:r>
      <w:r w:rsidR="002C06A4">
        <w:instrText xml:space="preserve"> ADDIN ZOTERO_ITEM CSL_CITATION {"citationID":"a1kml871ehd","properties":{"formattedCitation":"\\uldash{(Popov et al., 2023)}","plainCitation":"(Popov et al., 2023)","dontUpdate":true,"noteIndex":0},"citationItems":[{"id":44,"uris":["http://zotero.org/users/11296558/items/SKVPLSEL"],"itemData":{"id":44,"type":"document","abstract":"Popov, Y. A., Lippmann, E., &amp; Rauen, A. (2017). TCS–Manual. Thermal conductivity (TC) and thermal diffusivity (TD) Scanner, Version 15.11.2023.","language":"En","title":"TCS-Manual. Thermal conductivity (TC) and thermal diffusivity (TD) Scanner. Version 15.11.2023.","title-short":"TCS-Manual","URL":"https://www.schwartech.de/index_en.html#/tcs_en","author":[{"family":"Popov","given":"Y"},{"family":"Lippmann","given":"E"},{"family":"Rauen","given":"A"}],"issued":{"date-parts":[["2023"]]}}}],"schema":"https://github.com/citation-style-language/schema/raw/master/csl-citation.json"} </w:instrText>
      </w:r>
      <w:r w:rsidRPr="002E1929">
        <w:fldChar w:fldCharType="separate"/>
      </w:r>
      <w:r w:rsidRPr="002E1929">
        <w:t>Popov et al. (2023)</w:t>
      </w:r>
      <w:r w:rsidRPr="002E1929">
        <w:fldChar w:fldCharType="end"/>
      </w:r>
      <w:r w:rsidRPr="002E1929">
        <w:t>.</w:t>
      </w:r>
    </w:p>
    <w:p w14:paraId="08A52781" w14:textId="5564D7EF" w:rsidR="00B972F5" w:rsidRDefault="00EB49AB">
      <w:r w:rsidRPr="002E1929">
        <w:t xml:space="preserve">The parameters automatically computed from analysis with the optical scanning device are, </w:t>
      </w:r>
      <w:r w:rsidRPr="00E947F0">
        <w:rPr>
          <w:i/>
          <w:iCs/>
        </w:rPr>
        <w:t>λ</w:t>
      </w:r>
      <w:r w:rsidRPr="002E1929">
        <w:t xml:space="preserve"> the thermal conductivity </w:t>
      </w:r>
      <m:oMath>
        <m:r>
          <m:rPr>
            <m:sty m:val="p"/>
          </m:rPr>
          <w:rPr>
            <w:rFonts w:ascii="Cambria Math" w:hAnsi="Cambria Math"/>
          </w:rPr>
          <m:t>[W </m:t>
        </m:r>
        <m:sSup>
          <m:sSupPr>
            <m:ctrlPr>
              <w:rPr>
                <w:rFonts w:ascii="Cambria Math" w:hAnsi="Cambria Math"/>
              </w:rPr>
            </m:ctrlPr>
          </m:sSupPr>
          <m:e>
            <m:r>
              <m:rPr>
                <m:sty m:val="p"/>
              </m:rPr>
              <w:rPr>
                <w:rFonts w:ascii="Cambria Math" w:hAnsi="Cambria Math"/>
              </w:rPr>
              <m:t>m</m:t>
            </m:r>
          </m:e>
          <m:sup>
            <m:r>
              <m:rPr>
                <m:sty m:val="p"/>
              </m:rPr>
              <w:rPr>
                <w:rFonts w:ascii="Cambria Math" w:hAnsi="Cambria Math"/>
              </w:rPr>
              <m:t>-1</m:t>
            </m:r>
          </m:sup>
        </m:sSup>
        <m:r>
          <m:rPr>
            <m:sty m:val="p"/>
          </m:rPr>
          <w:rPr>
            <w:rFonts w:ascii="Cambria Math" w:hAnsi="Cambria Math"/>
          </w:rPr>
          <m:t> </m:t>
        </m:r>
        <m:sSup>
          <m:sSupPr>
            <m:ctrlPr>
              <w:rPr>
                <w:rFonts w:ascii="Cambria Math" w:hAnsi="Cambria Math"/>
              </w:rPr>
            </m:ctrlPr>
          </m:sSupPr>
          <m:e>
            <m:r>
              <m:rPr>
                <m:sty m:val="p"/>
              </m:rPr>
              <w:rPr>
                <w:rFonts w:ascii="Cambria Math" w:hAnsi="Cambria Math"/>
              </w:rPr>
              <m:t>K</m:t>
            </m:r>
          </m:e>
          <m:sup>
            <m:r>
              <m:rPr>
                <m:sty m:val="p"/>
              </m:rPr>
              <w:rPr>
                <w:rFonts w:ascii="Cambria Math" w:hAnsi="Cambria Math"/>
              </w:rPr>
              <m:t>-1</m:t>
            </m:r>
          </m:sup>
        </m:sSup>
        <m:r>
          <m:rPr>
            <m:sty m:val="p"/>
          </m:rPr>
          <w:rPr>
            <w:rFonts w:ascii="Cambria Math" w:hAnsi="Cambria Math"/>
          </w:rPr>
          <m:t>]</m:t>
        </m:r>
      </m:oMath>
      <w:r w:rsidRPr="002E1929">
        <w:t xml:space="preserve">, </w:t>
      </w:r>
      <w:r w:rsidRPr="00E947F0">
        <w:rPr>
          <w:i/>
          <w:iCs/>
        </w:rPr>
        <w:t>α</w:t>
      </w:r>
      <w:r w:rsidRPr="002E1929">
        <w:t xml:space="preserve"> </w:t>
      </w:r>
      <w:r w:rsidR="00932A89">
        <w:t xml:space="preserve">the </w:t>
      </w:r>
      <w:r w:rsidRPr="002E1929">
        <w:t xml:space="preserve">thermal diffusivity </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m</m:t>
            </m:r>
          </m:e>
          <m:sup>
            <m:r>
              <m:rPr>
                <m:sty m:val="p"/>
              </m:rPr>
              <w:rPr>
                <w:rFonts w:ascii="Cambria Math" w:hAnsi="Cambria Math"/>
              </w:rPr>
              <m:t>-2</m:t>
            </m:r>
          </m:sup>
        </m:sSup>
        <m:r>
          <m:rPr>
            <m:sty m:val="p"/>
          </m:rPr>
          <w:rPr>
            <w:rFonts w:ascii="Cambria Math" w:hAnsi="Cambria Math"/>
          </w:rPr>
          <m:t> </m:t>
        </m:r>
        <m:sSup>
          <m:sSupPr>
            <m:ctrlPr>
              <w:rPr>
                <w:rFonts w:ascii="Cambria Math" w:hAnsi="Cambria Math"/>
              </w:rPr>
            </m:ctrlPr>
          </m:sSupPr>
          <m:e>
            <m:r>
              <m:rPr>
                <m:sty m:val="p"/>
              </m:rPr>
              <w:rPr>
                <w:rFonts w:ascii="Cambria Math" w:hAnsi="Cambria Math"/>
              </w:rPr>
              <m:t>s</m:t>
            </m:r>
          </m:e>
          <m:sup>
            <m:r>
              <m:rPr>
                <m:sty m:val="p"/>
              </m:rPr>
              <w:rPr>
                <w:rFonts w:ascii="Cambria Math" w:hAnsi="Cambria Math"/>
              </w:rPr>
              <m:t>-1</m:t>
            </m:r>
          </m:sup>
        </m:sSup>
        <m:r>
          <m:rPr>
            <m:sty m:val="p"/>
          </m:rPr>
          <w:rPr>
            <w:rFonts w:ascii="Cambria Math" w:hAnsi="Cambria Math"/>
          </w:rPr>
          <m:t>]</m:t>
        </m:r>
      </m:oMath>
      <w:r w:rsidRPr="002E1929">
        <w:t xml:space="preserve">, </w:t>
      </w:r>
      <w:r w:rsidR="00932A89" w:rsidRPr="00596EB6">
        <w:rPr>
          <w:i/>
          <w:iCs/>
        </w:rPr>
        <w:t>G</w:t>
      </w:r>
      <w:r w:rsidR="00932A89">
        <w:t xml:space="preserve"> the </w:t>
      </w:r>
      <w:r w:rsidRPr="002E1929">
        <w:t xml:space="preserve">coefficient of variation (%), and </w:t>
      </w:r>
      <w:r w:rsidRPr="00596EB6">
        <w:rPr>
          <w:i/>
        </w:rPr>
        <w:t>IF</w:t>
      </w:r>
      <w:r w:rsidRPr="002E1929">
        <w:t xml:space="preserve"> the inhomogeneity factor. </w:t>
      </w:r>
      <w:r w:rsidRPr="002E1929">
        <w:fldChar w:fldCharType="begin"/>
      </w:r>
      <w:r w:rsidR="002C06A4">
        <w:instrText xml:space="preserve"> ADDIN ZOTERO_ITEM CSL_CITATION {"citationID":"a20vb5295e2","properties":{"formattedCitation":"\\uldash{(Rajaobelison et al., In press)}","plainCitation":"(Rajaobelison et al., In press)","dontUpdate":true,"noteIndex":0},"citationItems":[{"id":62,"uris":["http://zotero.org/users/11296558/items/9EJPLL2E"],"itemData":{"id":62,"type":"report","genre":"Open Report","number":"2023-015","page":"71","publisher":"Institut national de la recherche scientifique &amp; Northwest Territories Geological Survey","title":"Laboratory analyses on split core samples from wells to assess the geothermal potential of the South Slave Region, Northwest Territories, Canada","author":[{"family":"Rajaobelison","given":"Mirah"},{"family":"Thibault","given":"Michaël"},{"family":"Comeau","given":"Felix-Antoine"},{"family":"Raymond","given":"Jasmin"},{"family":"Terlaky","given":"Viktor"}],"issued":{"literal":"In press"}}}],"schema":"https://github.com/citation-style-language/schema/raw/master/csl-citation.json"} </w:instrText>
      </w:r>
      <w:r w:rsidRPr="002E1929">
        <w:fldChar w:fldCharType="separate"/>
      </w:r>
      <w:r w:rsidRPr="002E1929">
        <w:t>Rajaobelison et al. (In press)</w:t>
      </w:r>
      <w:r w:rsidRPr="002E1929">
        <w:fldChar w:fldCharType="end"/>
      </w:r>
      <w:r w:rsidRPr="002E1929">
        <w:t xml:space="preserve"> </w:t>
      </w:r>
      <w:r w:rsidR="00917258">
        <w:t>can be consulted</w:t>
      </w:r>
      <w:r w:rsidRPr="002E1929">
        <w:t xml:space="preserve"> for an exhaustive description of the laboratory </w:t>
      </w:r>
      <w:r w:rsidR="00917258">
        <w:t>analysis</w:t>
      </w:r>
      <w:r w:rsidRPr="002E1929">
        <w:t>.</w:t>
      </w:r>
    </w:p>
    <w:p w14:paraId="164DCF07" w14:textId="1C95E8BA" w:rsidR="00682F20" w:rsidRDefault="00B972F5" w:rsidP="00B972F5">
      <w:pPr>
        <w:spacing w:line="278" w:lineRule="auto"/>
        <w:jc w:val="left"/>
      </w:pPr>
      <w:r>
        <w:br w:type="page"/>
      </w:r>
    </w:p>
    <w:p w14:paraId="112CCAA3" w14:textId="4CF74C6C" w:rsidR="00681BEC" w:rsidRDefault="00681BEC" w:rsidP="00681BEC">
      <w:pPr>
        <w:pStyle w:val="Caption"/>
        <w:keepNext/>
      </w:pPr>
      <w:bookmarkStart w:id="0" w:name="_Ref212814783"/>
      <w:r>
        <w:lastRenderedPageBreak/>
        <w:t xml:space="preserve">Table </w:t>
      </w:r>
      <w:r>
        <w:fldChar w:fldCharType="begin"/>
      </w:r>
      <w:r>
        <w:instrText xml:space="preserve"> SEQ Table \* ARABIC </w:instrText>
      </w:r>
      <w:r>
        <w:fldChar w:fldCharType="separate"/>
      </w:r>
      <w:r w:rsidR="002948B9">
        <w:rPr>
          <w:noProof/>
        </w:rPr>
        <w:t>1</w:t>
      </w:r>
      <w:r>
        <w:fldChar w:fldCharType="end"/>
      </w:r>
      <w:bookmarkEnd w:id="0"/>
      <w:r>
        <w:t xml:space="preserve">. Core samples collected from wells </w:t>
      </w:r>
      <w:r>
        <w:rPr>
          <w:lang w:val="en-CA"/>
        </w:rPr>
        <w:t>f</w:t>
      </w:r>
      <w:r w:rsidRPr="00BF6499">
        <w:rPr>
          <w:lang w:val="en-CA"/>
        </w:rPr>
        <w:t>or SR</w:t>
      </w:r>
      <w:r>
        <w:rPr>
          <w:lang w:val="en-CA"/>
        </w:rPr>
        <w:t>-</w:t>
      </w:r>
      <w:r w:rsidRPr="00BF6499">
        <w:rPr>
          <w:lang w:val="en-CA"/>
        </w:rPr>
        <w:t>202</w:t>
      </w:r>
      <w:r>
        <w:rPr>
          <w:lang w:val="en-CA"/>
        </w:rPr>
        <w:t>3</w:t>
      </w:r>
      <w:r w:rsidRPr="00BF6499">
        <w:rPr>
          <w:lang w:val="en-CA"/>
        </w:rPr>
        <w:t>-00</w:t>
      </w:r>
      <w:r>
        <w:rPr>
          <w:lang w:val="en-CA"/>
        </w:rPr>
        <w:t>2 request.</w:t>
      </w:r>
    </w:p>
    <w:tbl>
      <w:tblPr>
        <w:tblW w:w="5704" w:type="dxa"/>
        <w:tblLook w:val="04A0" w:firstRow="1" w:lastRow="0" w:firstColumn="1" w:lastColumn="0" w:noHBand="0" w:noVBand="1"/>
      </w:tblPr>
      <w:tblGrid>
        <w:gridCol w:w="993"/>
        <w:gridCol w:w="1417"/>
        <w:gridCol w:w="1930"/>
        <w:gridCol w:w="1364"/>
      </w:tblGrid>
      <w:tr w:rsidR="0043071A" w:rsidRPr="0043071A" w14:paraId="64739F04" w14:textId="77777777" w:rsidTr="00DE300F">
        <w:trPr>
          <w:trHeight w:val="320"/>
        </w:trPr>
        <w:tc>
          <w:tcPr>
            <w:tcW w:w="993" w:type="dxa"/>
            <w:tcBorders>
              <w:top w:val="nil"/>
              <w:left w:val="nil"/>
              <w:bottom w:val="single" w:sz="4" w:space="0" w:color="auto"/>
              <w:right w:val="nil"/>
            </w:tcBorders>
            <w:noWrap/>
            <w:vAlign w:val="center"/>
            <w:hideMark/>
          </w:tcPr>
          <w:p w14:paraId="1A09E1C8" w14:textId="77777777" w:rsidR="0043071A" w:rsidRPr="0043071A" w:rsidRDefault="0043071A" w:rsidP="0043071A">
            <w:pPr>
              <w:spacing w:after="0" w:line="240" w:lineRule="auto"/>
              <w:jc w:val="center"/>
              <w:rPr>
                <w:rFonts w:ascii="Arial" w:eastAsia="Times New Roman" w:hAnsi="Arial" w:cs="Arial"/>
                <w:b/>
                <w:bCs/>
                <w:kern w:val="0"/>
                <w:lang w:val="en-CA"/>
                <w14:ligatures w14:val="none"/>
              </w:rPr>
            </w:pPr>
            <w:r w:rsidRPr="0043071A">
              <w:rPr>
                <w:rFonts w:ascii="Arial" w:eastAsia="Times New Roman" w:hAnsi="Arial" w:cs="Arial"/>
                <w:b/>
                <w:bCs/>
                <w:kern w:val="0"/>
                <w:lang w:val="en-CA"/>
                <w14:ligatures w14:val="none"/>
              </w:rPr>
              <w:t>Well</w:t>
            </w:r>
          </w:p>
        </w:tc>
        <w:tc>
          <w:tcPr>
            <w:tcW w:w="1417" w:type="dxa"/>
            <w:tcBorders>
              <w:top w:val="nil"/>
              <w:left w:val="nil"/>
              <w:bottom w:val="single" w:sz="4" w:space="0" w:color="auto"/>
              <w:right w:val="nil"/>
            </w:tcBorders>
            <w:noWrap/>
            <w:vAlign w:val="center"/>
            <w:hideMark/>
          </w:tcPr>
          <w:p w14:paraId="08276B3C" w14:textId="1B7037ED" w:rsidR="0043071A" w:rsidRPr="0043071A" w:rsidRDefault="0043071A" w:rsidP="0043071A">
            <w:pPr>
              <w:spacing w:after="0" w:line="240" w:lineRule="auto"/>
              <w:jc w:val="center"/>
              <w:rPr>
                <w:rFonts w:ascii="Arial" w:eastAsia="Times New Roman" w:hAnsi="Arial" w:cs="Arial"/>
                <w:b/>
                <w:bCs/>
                <w:kern w:val="0"/>
                <w:lang w:val="en-CA"/>
                <w14:ligatures w14:val="none"/>
              </w:rPr>
            </w:pPr>
            <w:r w:rsidRPr="0043071A">
              <w:rPr>
                <w:rFonts w:ascii="Arial" w:eastAsia="Times New Roman" w:hAnsi="Arial" w:cs="Arial"/>
                <w:b/>
                <w:bCs/>
                <w:kern w:val="0"/>
                <w:lang w:val="en-CA"/>
                <w14:ligatures w14:val="none"/>
              </w:rPr>
              <w:t>Depth</w:t>
            </w:r>
            <w:r w:rsidR="00DE300F">
              <w:rPr>
                <w:rFonts w:ascii="Arial" w:eastAsia="Times New Roman" w:hAnsi="Arial" w:cs="Arial"/>
                <w:b/>
                <w:bCs/>
                <w:kern w:val="0"/>
                <w:lang w:val="en-CA"/>
                <w14:ligatures w14:val="none"/>
              </w:rPr>
              <w:t xml:space="preserve"> (m)</w:t>
            </w:r>
          </w:p>
        </w:tc>
        <w:tc>
          <w:tcPr>
            <w:tcW w:w="1930" w:type="dxa"/>
            <w:tcBorders>
              <w:top w:val="nil"/>
              <w:left w:val="nil"/>
              <w:bottom w:val="single" w:sz="4" w:space="0" w:color="auto"/>
              <w:right w:val="nil"/>
            </w:tcBorders>
            <w:noWrap/>
            <w:vAlign w:val="center"/>
            <w:hideMark/>
          </w:tcPr>
          <w:p w14:paraId="6B498B66" w14:textId="77777777" w:rsidR="0043071A" w:rsidRPr="0043071A" w:rsidRDefault="0043071A" w:rsidP="0043071A">
            <w:pPr>
              <w:spacing w:after="0" w:line="240" w:lineRule="auto"/>
              <w:jc w:val="center"/>
              <w:rPr>
                <w:rFonts w:ascii="Arial" w:eastAsia="Times New Roman" w:hAnsi="Arial" w:cs="Arial"/>
                <w:b/>
                <w:bCs/>
                <w:kern w:val="0"/>
                <w:lang w:val="en-CA"/>
                <w14:ligatures w14:val="none"/>
              </w:rPr>
            </w:pPr>
            <w:r w:rsidRPr="0043071A">
              <w:rPr>
                <w:rFonts w:ascii="Arial" w:eastAsia="Times New Roman" w:hAnsi="Arial" w:cs="Arial"/>
                <w:b/>
                <w:bCs/>
                <w:kern w:val="0"/>
                <w:lang w:val="en-CA"/>
                <w14:ligatures w14:val="none"/>
              </w:rPr>
              <w:t xml:space="preserve"> Formation</w:t>
            </w:r>
          </w:p>
        </w:tc>
        <w:tc>
          <w:tcPr>
            <w:tcW w:w="1364" w:type="dxa"/>
            <w:tcBorders>
              <w:top w:val="nil"/>
              <w:left w:val="nil"/>
              <w:bottom w:val="single" w:sz="4" w:space="0" w:color="auto"/>
              <w:right w:val="nil"/>
            </w:tcBorders>
            <w:noWrap/>
            <w:vAlign w:val="center"/>
            <w:hideMark/>
          </w:tcPr>
          <w:p w14:paraId="7F75C781" w14:textId="77777777" w:rsidR="0043071A" w:rsidRPr="0043071A" w:rsidRDefault="0043071A" w:rsidP="0043071A">
            <w:pPr>
              <w:spacing w:after="0" w:line="240" w:lineRule="auto"/>
              <w:jc w:val="center"/>
              <w:rPr>
                <w:rFonts w:ascii="Arial" w:eastAsia="Times New Roman" w:hAnsi="Arial" w:cs="Arial"/>
                <w:b/>
                <w:bCs/>
                <w:kern w:val="0"/>
                <w:lang w:val="en-CA"/>
                <w14:ligatures w14:val="none"/>
              </w:rPr>
            </w:pPr>
            <w:r w:rsidRPr="0043071A">
              <w:rPr>
                <w:rFonts w:ascii="Arial" w:eastAsia="Times New Roman" w:hAnsi="Arial" w:cs="Arial"/>
                <w:b/>
                <w:bCs/>
                <w:kern w:val="0"/>
                <w:lang w:val="en-CA"/>
                <w14:ligatures w14:val="none"/>
              </w:rPr>
              <w:t>Lithology</w:t>
            </w:r>
          </w:p>
        </w:tc>
      </w:tr>
      <w:tr w:rsidR="0043071A" w:rsidRPr="0043071A" w14:paraId="2F443ABA" w14:textId="77777777" w:rsidTr="00DE300F">
        <w:trPr>
          <w:trHeight w:val="340"/>
        </w:trPr>
        <w:tc>
          <w:tcPr>
            <w:tcW w:w="993" w:type="dxa"/>
            <w:tcBorders>
              <w:top w:val="nil"/>
              <w:left w:val="nil"/>
              <w:bottom w:val="nil"/>
              <w:right w:val="nil"/>
            </w:tcBorders>
            <w:noWrap/>
            <w:vAlign w:val="center"/>
            <w:hideMark/>
          </w:tcPr>
          <w:p w14:paraId="4BA1DC9F"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A-66</w:t>
            </w:r>
          </w:p>
        </w:tc>
        <w:tc>
          <w:tcPr>
            <w:tcW w:w="1417" w:type="dxa"/>
            <w:tcBorders>
              <w:top w:val="nil"/>
              <w:left w:val="nil"/>
              <w:bottom w:val="nil"/>
              <w:right w:val="nil"/>
            </w:tcBorders>
            <w:vAlign w:val="center"/>
            <w:hideMark/>
          </w:tcPr>
          <w:p w14:paraId="1B99AAFD"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538.7</w:t>
            </w:r>
          </w:p>
        </w:tc>
        <w:tc>
          <w:tcPr>
            <w:tcW w:w="1930" w:type="dxa"/>
            <w:tcBorders>
              <w:top w:val="nil"/>
              <w:left w:val="nil"/>
              <w:bottom w:val="nil"/>
              <w:right w:val="nil"/>
            </w:tcBorders>
            <w:vAlign w:val="center"/>
            <w:hideMark/>
          </w:tcPr>
          <w:p w14:paraId="71415C9C"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Mirage Point</w:t>
            </w:r>
          </w:p>
        </w:tc>
        <w:tc>
          <w:tcPr>
            <w:tcW w:w="1364" w:type="dxa"/>
            <w:tcBorders>
              <w:top w:val="nil"/>
              <w:left w:val="nil"/>
              <w:bottom w:val="nil"/>
              <w:right w:val="nil"/>
            </w:tcBorders>
            <w:vAlign w:val="center"/>
            <w:hideMark/>
          </w:tcPr>
          <w:p w14:paraId="738ACF6B"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Red Beds</w:t>
            </w:r>
          </w:p>
        </w:tc>
      </w:tr>
      <w:tr w:rsidR="0043071A" w:rsidRPr="0043071A" w14:paraId="351C163A" w14:textId="77777777" w:rsidTr="00DE300F">
        <w:trPr>
          <w:trHeight w:val="340"/>
        </w:trPr>
        <w:tc>
          <w:tcPr>
            <w:tcW w:w="993" w:type="dxa"/>
            <w:tcBorders>
              <w:top w:val="nil"/>
              <w:left w:val="nil"/>
              <w:bottom w:val="nil"/>
              <w:right w:val="nil"/>
            </w:tcBorders>
            <w:noWrap/>
            <w:vAlign w:val="center"/>
            <w:hideMark/>
          </w:tcPr>
          <w:p w14:paraId="42FE2CA1"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A-66</w:t>
            </w:r>
          </w:p>
        </w:tc>
        <w:tc>
          <w:tcPr>
            <w:tcW w:w="1417" w:type="dxa"/>
            <w:tcBorders>
              <w:top w:val="nil"/>
              <w:left w:val="nil"/>
              <w:bottom w:val="nil"/>
              <w:right w:val="nil"/>
            </w:tcBorders>
            <w:vAlign w:val="center"/>
            <w:hideMark/>
          </w:tcPr>
          <w:p w14:paraId="2C030637"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547.82</w:t>
            </w:r>
          </w:p>
        </w:tc>
        <w:tc>
          <w:tcPr>
            <w:tcW w:w="1930" w:type="dxa"/>
            <w:tcBorders>
              <w:top w:val="nil"/>
              <w:left w:val="nil"/>
              <w:bottom w:val="nil"/>
              <w:right w:val="nil"/>
            </w:tcBorders>
            <w:vAlign w:val="center"/>
            <w:hideMark/>
          </w:tcPr>
          <w:p w14:paraId="0B122AC6"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Mirage Point</w:t>
            </w:r>
          </w:p>
        </w:tc>
        <w:tc>
          <w:tcPr>
            <w:tcW w:w="1364" w:type="dxa"/>
            <w:tcBorders>
              <w:top w:val="nil"/>
              <w:left w:val="nil"/>
              <w:bottom w:val="nil"/>
              <w:right w:val="nil"/>
            </w:tcBorders>
            <w:vAlign w:val="center"/>
            <w:hideMark/>
          </w:tcPr>
          <w:p w14:paraId="52FFA9A6"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Red Beds</w:t>
            </w:r>
          </w:p>
        </w:tc>
      </w:tr>
      <w:tr w:rsidR="0043071A" w:rsidRPr="0043071A" w14:paraId="16BA3A5F" w14:textId="77777777" w:rsidTr="00DE300F">
        <w:trPr>
          <w:trHeight w:val="276"/>
        </w:trPr>
        <w:tc>
          <w:tcPr>
            <w:tcW w:w="993" w:type="dxa"/>
            <w:tcBorders>
              <w:top w:val="nil"/>
              <w:left w:val="nil"/>
              <w:bottom w:val="nil"/>
              <w:right w:val="nil"/>
            </w:tcBorders>
            <w:noWrap/>
            <w:vAlign w:val="center"/>
            <w:hideMark/>
          </w:tcPr>
          <w:p w14:paraId="7EC718EF"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A-66</w:t>
            </w:r>
          </w:p>
        </w:tc>
        <w:tc>
          <w:tcPr>
            <w:tcW w:w="1417" w:type="dxa"/>
            <w:tcBorders>
              <w:top w:val="nil"/>
              <w:left w:val="nil"/>
              <w:bottom w:val="nil"/>
              <w:right w:val="nil"/>
            </w:tcBorders>
            <w:vAlign w:val="center"/>
            <w:hideMark/>
          </w:tcPr>
          <w:p w14:paraId="37147732"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549.43</w:t>
            </w:r>
          </w:p>
        </w:tc>
        <w:tc>
          <w:tcPr>
            <w:tcW w:w="1930" w:type="dxa"/>
            <w:tcBorders>
              <w:top w:val="nil"/>
              <w:left w:val="nil"/>
              <w:bottom w:val="nil"/>
              <w:right w:val="nil"/>
            </w:tcBorders>
            <w:vAlign w:val="center"/>
            <w:hideMark/>
          </w:tcPr>
          <w:p w14:paraId="272D8212" w14:textId="32064D01"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 xml:space="preserve">La Loche </w:t>
            </w:r>
          </w:p>
        </w:tc>
        <w:tc>
          <w:tcPr>
            <w:tcW w:w="1364" w:type="dxa"/>
            <w:tcBorders>
              <w:top w:val="nil"/>
              <w:left w:val="nil"/>
              <w:bottom w:val="nil"/>
              <w:right w:val="nil"/>
            </w:tcBorders>
            <w:vAlign w:val="center"/>
            <w:hideMark/>
          </w:tcPr>
          <w:p w14:paraId="17E3BC44"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Sandstone</w:t>
            </w:r>
          </w:p>
        </w:tc>
      </w:tr>
      <w:tr w:rsidR="0043071A" w:rsidRPr="0043071A" w14:paraId="5D4D1FE5" w14:textId="77777777" w:rsidTr="00DE300F">
        <w:trPr>
          <w:trHeight w:val="409"/>
        </w:trPr>
        <w:tc>
          <w:tcPr>
            <w:tcW w:w="993" w:type="dxa"/>
            <w:tcBorders>
              <w:top w:val="nil"/>
              <w:left w:val="nil"/>
              <w:bottom w:val="nil"/>
              <w:right w:val="nil"/>
            </w:tcBorders>
            <w:noWrap/>
            <w:vAlign w:val="center"/>
            <w:hideMark/>
          </w:tcPr>
          <w:p w14:paraId="11509820"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A-66</w:t>
            </w:r>
          </w:p>
        </w:tc>
        <w:tc>
          <w:tcPr>
            <w:tcW w:w="1417" w:type="dxa"/>
            <w:tcBorders>
              <w:top w:val="nil"/>
              <w:left w:val="nil"/>
              <w:bottom w:val="nil"/>
              <w:right w:val="nil"/>
            </w:tcBorders>
            <w:vAlign w:val="center"/>
            <w:hideMark/>
          </w:tcPr>
          <w:p w14:paraId="5BE8B813"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552.42</w:t>
            </w:r>
          </w:p>
        </w:tc>
        <w:tc>
          <w:tcPr>
            <w:tcW w:w="1930" w:type="dxa"/>
            <w:tcBorders>
              <w:top w:val="nil"/>
              <w:left w:val="nil"/>
              <w:bottom w:val="nil"/>
              <w:right w:val="nil"/>
            </w:tcBorders>
            <w:vAlign w:val="center"/>
            <w:hideMark/>
          </w:tcPr>
          <w:p w14:paraId="09EA9BF1" w14:textId="1065F21F"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La Loche</w:t>
            </w:r>
          </w:p>
        </w:tc>
        <w:tc>
          <w:tcPr>
            <w:tcW w:w="1364" w:type="dxa"/>
            <w:tcBorders>
              <w:top w:val="nil"/>
              <w:left w:val="nil"/>
              <w:bottom w:val="nil"/>
              <w:right w:val="nil"/>
            </w:tcBorders>
            <w:vAlign w:val="center"/>
            <w:hideMark/>
          </w:tcPr>
          <w:p w14:paraId="086D1F0E"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Sandstone</w:t>
            </w:r>
          </w:p>
        </w:tc>
      </w:tr>
      <w:tr w:rsidR="0043071A" w:rsidRPr="0043071A" w14:paraId="0DC67F30" w14:textId="77777777" w:rsidTr="00DE300F">
        <w:trPr>
          <w:trHeight w:val="340"/>
        </w:trPr>
        <w:tc>
          <w:tcPr>
            <w:tcW w:w="993" w:type="dxa"/>
            <w:tcBorders>
              <w:top w:val="nil"/>
              <w:left w:val="nil"/>
              <w:bottom w:val="nil"/>
              <w:right w:val="nil"/>
            </w:tcBorders>
            <w:noWrap/>
            <w:vAlign w:val="center"/>
            <w:hideMark/>
          </w:tcPr>
          <w:p w14:paraId="5039411A"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A-70</w:t>
            </w:r>
          </w:p>
        </w:tc>
        <w:tc>
          <w:tcPr>
            <w:tcW w:w="1417" w:type="dxa"/>
            <w:tcBorders>
              <w:top w:val="nil"/>
              <w:left w:val="nil"/>
              <w:bottom w:val="nil"/>
              <w:right w:val="nil"/>
            </w:tcBorders>
            <w:vAlign w:val="center"/>
            <w:hideMark/>
          </w:tcPr>
          <w:p w14:paraId="3F8355B1"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642.63</w:t>
            </w:r>
          </w:p>
        </w:tc>
        <w:tc>
          <w:tcPr>
            <w:tcW w:w="1930" w:type="dxa"/>
            <w:tcBorders>
              <w:top w:val="nil"/>
              <w:left w:val="nil"/>
              <w:bottom w:val="nil"/>
              <w:right w:val="nil"/>
            </w:tcBorders>
            <w:vAlign w:val="center"/>
            <w:hideMark/>
          </w:tcPr>
          <w:p w14:paraId="2C7B3993"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Keg River</w:t>
            </w:r>
          </w:p>
        </w:tc>
        <w:tc>
          <w:tcPr>
            <w:tcW w:w="1364" w:type="dxa"/>
            <w:tcBorders>
              <w:top w:val="nil"/>
              <w:left w:val="nil"/>
              <w:bottom w:val="nil"/>
              <w:right w:val="nil"/>
            </w:tcBorders>
            <w:vAlign w:val="center"/>
            <w:hideMark/>
          </w:tcPr>
          <w:p w14:paraId="0E5C80D1"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Limestone</w:t>
            </w:r>
          </w:p>
        </w:tc>
      </w:tr>
      <w:tr w:rsidR="0043071A" w:rsidRPr="0043071A" w14:paraId="4D1A3EB2" w14:textId="77777777" w:rsidTr="00DE300F">
        <w:trPr>
          <w:trHeight w:val="340"/>
        </w:trPr>
        <w:tc>
          <w:tcPr>
            <w:tcW w:w="993" w:type="dxa"/>
            <w:tcBorders>
              <w:top w:val="nil"/>
              <w:left w:val="nil"/>
              <w:bottom w:val="nil"/>
              <w:right w:val="nil"/>
            </w:tcBorders>
            <w:noWrap/>
            <w:vAlign w:val="center"/>
            <w:hideMark/>
          </w:tcPr>
          <w:p w14:paraId="013500D3"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A-70</w:t>
            </w:r>
          </w:p>
        </w:tc>
        <w:tc>
          <w:tcPr>
            <w:tcW w:w="1417" w:type="dxa"/>
            <w:tcBorders>
              <w:top w:val="nil"/>
              <w:left w:val="nil"/>
              <w:bottom w:val="nil"/>
              <w:right w:val="nil"/>
            </w:tcBorders>
            <w:vAlign w:val="center"/>
            <w:hideMark/>
          </w:tcPr>
          <w:p w14:paraId="696D4DC8"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646.85</w:t>
            </w:r>
          </w:p>
        </w:tc>
        <w:tc>
          <w:tcPr>
            <w:tcW w:w="1930" w:type="dxa"/>
            <w:tcBorders>
              <w:top w:val="nil"/>
              <w:left w:val="nil"/>
              <w:bottom w:val="nil"/>
              <w:right w:val="nil"/>
            </w:tcBorders>
            <w:vAlign w:val="center"/>
            <w:hideMark/>
          </w:tcPr>
          <w:p w14:paraId="214DD52A"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Keg River</w:t>
            </w:r>
          </w:p>
        </w:tc>
        <w:tc>
          <w:tcPr>
            <w:tcW w:w="1364" w:type="dxa"/>
            <w:tcBorders>
              <w:top w:val="nil"/>
              <w:left w:val="nil"/>
              <w:bottom w:val="nil"/>
              <w:right w:val="nil"/>
            </w:tcBorders>
            <w:vAlign w:val="center"/>
            <w:hideMark/>
          </w:tcPr>
          <w:p w14:paraId="41F77397"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Limestone</w:t>
            </w:r>
          </w:p>
        </w:tc>
      </w:tr>
      <w:tr w:rsidR="0043071A" w:rsidRPr="0043071A" w14:paraId="77A727B1" w14:textId="77777777" w:rsidTr="00DE300F">
        <w:trPr>
          <w:trHeight w:val="340"/>
        </w:trPr>
        <w:tc>
          <w:tcPr>
            <w:tcW w:w="993" w:type="dxa"/>
            <w:tcBorders>
              <w:top w:val="nil"/>
              <w:left w:val="nil"/>
              <w:bottom w:val="nil"/>
              <w:right w:val="nil"/>
            </w:tcBorders>
            <w:noWrap/>
            <w:vAlign w:val="center"/>
            <w:hideMark/>
          </w:tcPr>
          <w:p w14:paraId="04C00002"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A-70</w:t>
            </w:r>
          </w:p>
        </w:tc>
        <w:tc>
          <w:tcPr>
            <w:tcW w:w="1417" w:type="dxa"/>
            <w:tcBorders>
              <w:top w:val="nil"/>
              <w:left w:val="nil"/>
              <w:bottom w:val="nil"/>
              <w:right w:val="nil"/>
            </w:tcBorders>
            <w:vAlign w:val="center"/>
            <w:hideMark/>
          </w:tcPr>
          <w:p w14:paraId="54CD0BF8"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689.82</w:t>
            </w:r>
          </w:p>
        </w:tc>
        <w:tc>
          <w:tcPr>
            <w:tcW w:w="1930" w:type="dxa"/>
            <w:tcBorders>
              <w:top w:val="nil"/>
              <w:left w:val="nil"/>
              <w:bottom w:val="nil"/>
              <w:right w:val="nil"/>
            </w:tcBorders>
            <w:vAlign w:val="center"/>
            <w:hideMark/>
          </w:tcPr>
          <w:p w14:paraId="5950FF40"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Chinchaga</w:t>
            </w:r>
          </w:p>
        </w:tc>
        <w:tc>
          <w:tcPr>
            <w:tcW w:w="1364" w:type="dxa"/>
            <w:tcBorders>
              <w:top w:val="nil"/>
              <w:left w:val="nil"/>
              <w:bottom w:val="nil"/>
              <w:right w:val="nil"/>
            </w:tcBorders>
            <w:vAlign w:val="center"/>
            <w:hideMark/>
          </w:tcPr>
          <w:p w14:paraId="135D26D3"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Anhydrite</w:t>
            </w:r>
          </w:p>
        </w:tc>
      </w:tr>
      <w:tr w:rsidR="0043071A" w:rsidRPr="0043071A" w14:paraId="3835A270" w14:textId="77777777" w:rsidTr="00DE300F">
        <w:trPr>
          <w:trHeight w:val="340"/>
        </w:trPr>
        <w:tc>
          <w:tcPr>
            <w:tcW w:w="993" w:type="dxa"/>
            <w:tcBorders>
              <w:top w:val="nil"/>
              <w:left w:val="nil"/>
              <w:bottom w:val="nil"/>
              <w:right w:val="nil"/>
            </w:tcBorders>
            <w:noWrap/>
            <w:vAlign w:val="center"/>
            <w:hideMark/>
          </w:tcPr>
          <w:p w14:paraId="4A2BEAD1"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A-70</w:t>
            </w:r>
          </w:p>
        </w:tc>
        <w:tc>
          <w:tcPr>
            <w:tcW w:w="1417" w:type="dxa"/>
            <w:tcBorders>
              <w:top w:val="nil"/>
              <w:left w:val="nil"/>
              <w:bottom w:val="nil"/>
              <w:right w:val="nil"/>
            </w:tcBorders>
            <w:vAlign w:val="center"/>
            <w:hideMark/>
          </w:tcPr>
          <w:p w14:paraId="11DC2899"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690.65</w:t>
            </w:r>
          </w:p>
        </w:tc>
        <w:tc>
          <w:tcPr>
            <w:tcW w:w="1930" w:type="dxa"/>
            <w:tcBorders>
              <w:top w:val="nil"/>
              <w:left w:val="nil"/>
              <w:bottom w:val="nil"/>
              <w:right w:val="nil"/>
            </w:tcBorders>
            <w:vAlign w:val="center"/>
            <w:hideMark/>
          </w:tcPr>
          <w:p w14:paraId="460E32CC"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Chinchaga</w:t>
            </w:r>
          </w:p>
        </w:tc>
        <w:tc>
          <w:tcPr>
            <w:tcW w:w="1364" w:type="dxa"/>
            <w:tcBorders>
              <w:top w:val="nil"/>
              <w:left w:val="nil"/>
              <w:bottom w:val="nil"/>
              <w:right w:val="nil"/>
            </w:tcBorders>
            <w:vAlign w:val="center"/>
            <w:hideMark/>
          </w:tcPr>
          <w:p w14:paraId="29BFA54F"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Anhydrite</w:t>
            </w:r>
          </w:p>
        </w:tc>
      </w:tr>
      <w:tr w:rsidR="0043071A" w:rsidRPr="0043071A" w14:paraId="578DAAAB" w14:textId="77777777" w:rsidTr="00DE300F">
        <w:trPr>
          <w:trHeight w:val="340"/>
        </w:trPr>
        <w:tc>
          <w:tcPr>
            <w:tcW w:w="993" w:type="dxa"/>
            <w:tcBorders>
              <w:top w:val="nil"/>
              <w:left w:val="nil"/>
              <w:bottom w:val="nil"/>
              <w:right w:val="nil"/>
            </w:tcBorders>
            <w:noWrap/>
            <w:vAlign w:val="center"/>
            <w:hideMark/>
          </w:tcPr>
          <w:p w14:paraId="73763AE9"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C-19</w:t>
            </w:r>
          </w:p>
        </w:tc>
        <w:tc>
          <w:tcPr>
            <w:tcW w:w="1417" w:type="dxa"/>
            <w:tcBorders>
              <w:top w:val="nil"/>
              <w:left w:val="nil"/>
              <w:bottom w:val="nil"/>
              <w:right w:val="nil"/>
            </w:tcBorders>
            <w:vAlign w:val="center"/>
            <w:hideMark/>
          </w:tcPr>
          <w:p w14:paraId="19BEF5CE"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393.5</w:t>
            </w:r>
          </w:p>
        </w:tc>
        <w:tc>
          <w:tcPr>
            <w:tcW w:w="1930" w:type="dxa"/>
            <w:tcBorders>
              <w:top w:val="nil"/>
              <w:left w:val="nil"/>
              <w:bottom w:val="nil"/>
              <w:right w:val="nil"/>
            </w:tcBorders>
            <w:vAlign w:val="center"/>
            <w:hideMark/>
          </w:tcPr>
          <w:p w14:paraId="4DE8AEBC"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Hay River</w:t>
            </w:r>
          </w:p>
        </w:tc>
        <w:tc>
          <w:tcPr>
            <w:tcW w:w="1364" w:type="dxa"/>
            <w:tcBorders>
              <w:top w:val="nil"/>
              <w:left w:val="nil"/>
              <w:bottom w:val="nil"/>
              <w:right w:val="nil"/>
            </w:tcBorders>
            <w:vAlign w:val="center"/>
            <w:hideMark/>
          </w:tcPr>
          <w:p w14:paraId="72844666"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Shale</w:t>
            </w:r>
          </w:p>
        </w:tc>
      </w:tr>
      <w:tr w:rsidR="0043071A" w:rsidRPr="0043071A" w14:paraId="343A570F" w14:textId="77777777" w:rsidTr="00DE300F">
        <w:trPr>
          <w:trHeight w:val="340"/>
        </w:trPr>
        <w:tc>
          <w:tcPr>
            <w:tcW w:w="993" w:type="dxa"/>
            <w:tcBorders>
              <w:top w:val="nil"/>
              <w:left w:val="nil"/>
              <w:bottom w:val="nil"/>
              <w:right w:val="nil"/>
            </w:tcBorders>
            <w:noWrap/>
            <w:vAlign w:val="center"/>
            <w:hideMark/>
          </w:tcPr>
          <w:p w14:paraId="5A708BEF"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C-19</w:t>
            </w:r>
          </w:p>
        </w:tc>
        <w:tc>
          <w:tcPr>
            <w:tcW w:w="1417" w:type="dxa"/>
            <w:tcBorders>
              <w:top w:val="nil"/>
              <w:left w:val="nil"/>
              <w:bottom w:val="nil"/>
              <w:right w:val="nil"/>
            </w:tcBorders>
            <w:vAlign w:val="center"/>
            <w:hideMark/>
          </w:tcPr>
          <w:p w14:paraId="2AB527DE"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395.63</w:t>
            </w:r>
          </w:p>
        </w:tc>
        <w:tc>
          <w:tcPr>
            <w:tcW w:w="1930" w:type="dxa"/>
            <w:tcBorders>
              <w:top w:val="nil"/>
              <w:left w:val="nil"/>
              <w:bottom w:val="nil"/>
              <w:right w:val="nil"/>
            </w:tcBorders>
            <w:vAlign w:val="center"/>
            <w:hideMark/>
          </w:tcPr>
          <w:p w14:paraId="02C7338A"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Hay River</w:t>
            </w:r>
          </w:p>
        </w:tc>
        <w:tc>
          <w:tcPr>
            <w:tcW w:w="1364" w:type="dxa"/>
            <w:tcBorders>
              <w:top w:val="nil"/>
              <w:left w:val="nil"/>
              <w:bottom w:val="nil"/>
              <w:right w:val="nil"/>
            </w:tcBorders>
            <w:vAlign w:val="center"/>
            <w:hideMark/>
          </w:tcPr>
          <w:p w14:paraId="2F10D7FA"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Shale</w:t>
            </w:r>
          </w:p>
        </w:tc>
      </w:tr>
      <w:tr w:rsidR="0043071A" w:rsidRPr="0043071A" w14:paraId="7325AD8C" w14:textId="77777777" w:rsidTr="00DE300F">
        <w:trPr>
          <w:trHeight w:val="340"/>
        </w:trPr>
        <w:tc>
          <w:tcPr>
            <w:tcW w:w="993" w:type="dxa"/>
            <w:tcBorders>
              <w:top w:val="nil"/>
              <w:left w:val="nil"/>
              <w:bottom w:val="nil"/>
              <w:right w:val="nil"/>
            </w:tcBorders>
            <w:noWrap/>
            <w:vAlign w:val="center"/>
            <w:hideMark/>
          </w:tcPr>
          <w:p w14:paraId="271491EF"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I-57</w:t>
            </w:r>
          </w:p>
        </w:tc>
        <w:tc>
          <w:tcPr>
            <w:tcW w:w="1417" w:type="dxa"/>
            <w:tcBorders>
              <w:top w:val="nil"/>
              <w:left w:val="nil"/>
              <w:bottom w:val="nil"/>
              <w:right w:val="nil"/>
            </w:tcBorders>
            <w:vAlign w:val="center"/>
            <w:hideMark/>
          </w:tcPr>
          <w:p w14:paraId="5B2F3293"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508.6</w:t>
            </w:r>
          </w:p>
        </w:tc>
        <w:tc>
          <w:tcPr>
            <w:tcW w:w="1930" w:type="dxa"/>
            <w:tcBorders>
              <w:top w:val="nil"/>
              <w:left w:val="nil"/>
              <w:bottom w:val="nil"/>
              <w:right w:val="nil"/>
            </w:tcBorders>
            <w:vAlign w:val="center"/>
            <w:hideMark/>
          </w:tcPr>
          <w:p w14:paraId="3CB40672"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Chinchaga</w:t>
            </w:r>
          </w:p>
        </w:tc>
        <w:tc>
          <w:tcPr>
            <w:tcW w:w="1364" w:type="dxa"/>
            <w:tcBorders>
              <w:top w:val="nil"/>
              <w:left w:val="nil"/>
              <w:bottom w:val="nil"/>
              <w:right w:val="nil"/>
            </w:tcBorders>
            <w:vAlign w:val="center"/>
            <w:hideMark/>
          </w:tcPr>
          <w:p w14:paraId="61682378"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Anhydrite</w:t>
            </w:r>
          </w:p>
        </w:tc>
      </w:tr>
      <w:tr w:rsidR="0043071A" w:rsidRPr="0043071A" w14:paraId="5816B35B" w14:textId="77777777" w:rsidTr="00DE300F">
        <w:trPr>
          <w:trHeight w:val="340"/>
        </w:trPr>
        <w:tc>
          <w:tcPr>
            <w:tcW w:w="993" w:type="dxa"/>
            <w:tcBorders>
              <w:top w:val="nil"/>
              <w:left w:val="nil"/>
              <w:bottom w:val="nil"/>
              <w:right w:val="nil"/>
            </w:tcBorders>
            <w:noWrap/>
            <w:vAlign w:val="center"/>
            <w:hideMark/>
          </w:tcPr>
          <w:p w14:paraId="4E6196B3"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I-57</w:t>
            </w:r>
          </w:p>
        </w:tc>
        <w:tc>
          <w:tcPr>
            <w:tcW w:w="1417" w:type="dxa"/>
            <w:tcBorders>
              <w:top w:val="nil"/>
              <w:left w:val="nil"/>
              <w:bottom w:val="nil"/>
              <w:right w:val="nil"/>
            </w:tcBorders>
            <w:vAlign w:val="center"/>
            <w:hideMark/>
          </w:tcPr>
          <w:p w14:paraId="10DF2B65"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509.3</w:t>
            </w:r>
          </w:p>
        </w:tc>
        <w:tc>
          <w:tcPr>
            <w:tcW w:w="1930" w:type="dxa"/>
            <w:tcBorders>
              <w:top w:val="nil"/>
              <w:left w:val="nil"/>
              <w:bottom w:val="nil"/>
              <w:right w:val="nil"/>
            </w:tcBorders>
            <w:vAlign w:val="center"/>
            <w:hideMark/>
          </w:tcPr>
          <w:p w14:paraId="5C90776A"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Chinchaga</w:t>
            </w:r>
          </w:p>
        </w:tc>
        <w:tc>
          <w:tcPr>
            <w:tcW w:w="1364" w:type="dxa"/>
            <w:tcBorders>
              <w:top w:val="nil"/>
              <w:left w:val="nil"/>
              <w:bottom w:val="nil"/>
              <w:right w:val="nil"/>
            </w:tcBorders>
            <w:vAlign w:val="center"/>
            <w:hideMark/>
          </w:tcPr>
          <w:p w14:paraId="2D42006A"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Anhydrite</w:t>
            </w:r>
          </w:p>
        </w:tc>
      </w:tr>
      <w:tr w:rsidR="0043071A" w:rsidRPr="0043071A" w14:paraId="56E2FA9B" w14:textId="77777777" w:rsidTr="00DE300F">
        <w:trPr>
          <w:trHeight w:val="340"/>
        </w:trPr>
        <w:tc>
          <w:tcPr>
            <w:tcW w:w="993" w:type="dxa"/>
            <w:tcBorders>
              <w:top w:val="nil"/>
              <w:left w:val="nil"/>
              <w:bottom w:val="nil"/>
              <w:right w:val="nil"/>
            </w:tcBorders>
            <w:noWrap/>
            <w:vAlign w:val="center"/>
            <w:hideMark/>
          </w:tcPr>
          <w:p w14:paraId="5B2180DF"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B-75</w:t>
            </w:r>
          </w:p>
        </w:tc>
        <w:tc>
          <w:tcPr>
            <w:tcW w:w="1417" w:type="dxa"/>
            <w:tcBorders>
              <w:top w:val="nil"/>
              <w:left w:val="nil"/>
              <w:bottom w:val="nil"/>
              <w:right w:val="nil"/>
            </w:tcBorders>
            <w:vAlign w:val="center"/>
            <w:hideMark/>
          </w:tcPr>
          <w:p w14:paraId="2F59D915"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443.63</w:t>
            </w:r>
          </w:p>
        </w:tc>
        <w:tc>
          <w:tcPr>
            <w:tcW w:w="1930" w:type="dxa"/>
            <w:tcBorders>
              <w:top w:val="nil"/>
              <w:left w:val="nil"/>
              <w:bottom w:val="nil"/>
              <w:right w:val="nil"/>
            </w:tcBorders>
            <w:vAlign w:val="center"/>
            <w:hideMark/>
          </w:tcPr>
          <w:p w14:paraId="24E9CDF3"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Horn River</w:t>
            </w:r>
          </w:p>
        </w:tc>
        <w:tc>
          <w:tcPr>
            <w:tcW w:w="1364" w:type="dxa"/>
            <w:tcBorders>
              <w:top w:val="nil"/>
              <w:left w:val="nil"/>
              <w:bottom w:val="nil"/>
              <w:right w:val="nil"/>
            </w:tcBorders>
            <w:vAlign w:val="center"/>
            <w:hideMark/>
          </w:tcPr>
          <w:p w14:paraId="388EBC85"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 xml:space="preserve">Limestone </w:t>
            </w:r>
          </w:p>
        </w:tc>
      </w:tr>
      <w:tr w:rsidR="0043071A" w:rsidRPr="0043071A" w14:paraId="0E848B8F" w14:textId="77777777" w:rsidTr="00DE300F">
        <w:trPr>
          <w:trHeight w:val="340"/>
        </w:trPr>
        <w:tc>
          <w:tcPr>
            <w:tcW w:w="993" w:type="dxa"/>
            <w:tcBorders>
              <w:top w:val="nil"/>
              <w:left w:val="nil"/>
              <w:bottom w:val="nil"/>
              <w:right w:val="nil"/>
            </w:tcBorders>
            <w:noWrap/>
            <w:vAlign w:val="center"/>
            <w:hideMark/>
          </w:tcPr>
          <w:p w14:paraId="220DDB91"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B-75</w:t>
            </w:r>
          </w:p>
        </w:tc>
        <w:tc>
          <w:tcPr>
            <w:tcW w:w="1417" w:type="dxa"/>
            <w:tcBorders>
              <w:top w:val="nil"/>
              <w:left w:val="nil"/>
              <w:bottom w:val="nil"/>
              <w:right w:val="nil"/>
            </w:tcBorders>
            <w:vAlign w:val="center"/>
            <w:hideMark/>
          </w:tcPr>
          <w:p w14:paraId="08AD0B3E"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446.83</w:t>
            </w:r>
          </w:p>
        </w:tc>
        <w:tc>
          <w:tcPr>
            <w:tcW w:w="1930" w:type="dxa"/>
            <w:tcBorders>
              <w:top w:val="nil"/>
              <w:left w:val="nil"/>
              <w:bottom w:val="nil"/>
              <w:right w:val="nil"/>
            </w:tcBorders>
            <w:vAlign w:val="center"/>
            <w:hideMark/>
          </w:tcPr>
          <w:p w14:paraId="7194FA86"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Horn River</w:t>
            </w:r>
          </w:p>
        </w:tc>
        <w:tc>
          <w:tcPr>
            <w:tcW w:w="1364" w:type="dxa"/>
            <w:tcBorders>
              <w:top w:val="nil"/>
              <w:left w:val="nil"/>
              <w:bottom w:val="nil"/>
              <w:right w:val="nil"/>
            </w:tcBorders>
            <w:vAlign w:val="center"/>
            <w:hideMark/>
          </w:tcPr>
          <w:p w14:paraId="7B5BDEF0"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 xml:space="preserve">Limestone </w:t>
            </w:r>
          </w:p>
        </w:tc>
      </w:tr>
      <w:tr w:rsidR="0043071A" w:rsidRPr="0043071A" w14:paraId="28DEADED" w14:textId="77777777" w:rsidTr="00DE300F">
        <w:trPr>
          <w:trHeight w:val="340"/>
        </w:trPr>
        <w:tc>
          <w:tcPr>
            <w:tcW w:w="993" w:type="dxa"/>
            <w:tcBorders>
              <w:top w:val="nil"/>
              <w:left w:val="nil"/>
              <w:bottom w:val="nil"/>
              <w:right w:val="nil"/>
            </w:tcBorders>
            <w:noWrap/>
            <w:vAlign w:val="center"/>
            <w:hideMark/>
          </w:tcPr>
          <w:p w14:paraId="004F6249"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I-08</w:t>
            </w:r>
          </w:p>
        </w:tc>
        <w:tc>
          <w:tcPr>
            <w:tcW w:w="1417" w:type="dxa"/>
            <w:tcBorders>
              <w:top w:val="nil"/>
              <w:left w:val="nil"/>
              <w:bottom w:val="nil"/>
              <w:right w:val="nil"/>
            </w:tcBorders>
            <w:vAlign w:val="center"/>
            <w:hideMark/>
          </w:tcPr>
          <w:p w14:paraId="007A4831"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416.51</w:t>
            </w:r>
          </w:p>
        </w:tc>
        <w:tc>
          <w:tcPr>
            <w:tcW w:w="1930" w:type="dxa"/>
            <w:tcBorders>
              <w:top w:val="nil"/>
              <w:left w:val="nil"/>
              <w:bottom w:val="nil"/>
              <w:right w:val="nil"/>
            </w:tcBorders>
            <w:vAlign w:val="center"/>
            <w:hideMark/>
          </w:tcPr>
          <w:p w14:paraId="6E301FB8"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Muskwa</w:t>
            </w:r>
          </w:p>
        </w:tc>
        <w:tc>
          <w:tcPr>
            <w:tcW w:w="1364" w:type="dxa"/>
            <w:tcBorders>
              <w:top w:val="nil"/>
              <w:left w:val="nil"/>
              <w:bottom w:val="nil"/>
              <w:right w:val="nil"/>
            </w:tcBorders>
            <w:vAlign w:val="center"/>
            <w:hideMark/>
          </w:tcPr>
          <w:p w14:paraId="473DCC98"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 xml:space="preserve">Limestone </w:t>
            </w:r>
          </w:p>
        </w:tc>
      </w:tr>
      <w:tr w:rsidR="0043071A" w:rsidRPr="0043071A" w14:paraId="700C0C04" w14:textId="77777777" w:rsidTr="00DE300F">
        <w:trPr>
          <w:trHeight w:val="340"/>
        </w:trPr>
        <w:tc>
          <w:tcPr>
            <w:tcW w:w="993" w:type="dxa"/>
            <w:tcBorders>
              <w:top w:val="nil"/>
              <w:left w:val="nil"/>
              <w:bottom w:val="nil"/>
              <w:right w:val="nil"/>
            </w:tcBorders>
            <w:noWrap/>
            <w:vAlign w:val="center"/>
            <w:hideMark/>
          </w:tcPr>
          <w:p w14:paraId="33EC82BD"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I-08</w:t>
            </w:r>
          </w:p>
        </w:tc>
        <w:tc>
          <w:tcPr>
            <w:tcW w:w="1417" w:type="dxa"/>
            <w:tcBorders>
              <w:top w:val="nil"/>
              <w:left w:val="nil"/>
              <w:bottom w:val="nil"/>
              <w:right w:val="nil"/>
            </w:tcBorders>
            <w:vAlign w:val="center"/>
            <w:hideMark/>
          </w:tcPr>
          <w:p w14:paraId="13605BF1"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424.17</w:t>
            </w:r>
          </w:p>
        </w:tc>
        <w:tc>
          <w:tcPr>
            <w:tcW w:w="1930" w:type="dxa"/>
            <w:tcBorders>
              <w:top w:val="nil"/>
              <w:left w:val="nil"/>
              <w:bottom w:val="nil"/>
              <w:right w:val="nil"/>
            </w:tcBorders>
            <w:vAlign w:val="center"/>
            <w:hideMark/>
          </w:tcPr>
          <w:p w14:paraId="72B3D768"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Muskwa</w:t>
            </w:r>
          </w:p>
        </w:tc>
        <w:tc>
          <w:tcPr>
            <w:tcW w:w="1364" w:type="dxa"/>
            <w:tcBorders>
              <w:top w:val="nil"/>
              <w:left w:val="nil"/>
              <w:bottom w:val="nil"/>
              <w:right w:val="nil"/>
            </w:tcBorders>
            <w:vAlign w:val="center"/>
            <w:hideMark/>
          </w:tcPr>
          <w:p w14:paraId="785BAD16"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Shale</w:t>
            </w:r>
          </w:p>
        </w:tc>
      </w:tr>
      <w:tr w:rsidR="0043071A" w:rsidRPr="0043071A" w14:paraId="6A003081" w14:textId="77777777" w:rsidTr="00DE300F">
        <w:trPr>
          <w:trHeight w:val="340"/>
        </w:trPr>
        <w:tc>
          <w:tcPr>
            <w:tcW w:w="993" w:type="dxa"/>
            <w:tcBorders>
              <w:top w:val="nil"/>
              <w:left w:val="nil"/>
              <w:bottom w:val="nil"/>
              <w:right w:val="nil"/>
            </w:tcBorders>
            <w:noWrap/>
            <w:vAlign w:val="center"/>
            <w:hideMark/>
          </w:tcPr>
          <w:p w14:paraId="44B98FD1"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O-25</w:t>
            </w:r>
          </w:p>
        </w:tc>
        <w:tc>
          <w:tcPr>
            <w:tcW w:w="1417" w:type="dxa"/>
            <w:tcBorders>
              <w:top w:val="nil"/>
              <w:left w:val="nil"/>
              <w:bottom w:val="nil"/>
              <w:right w:val="nil"/>
            </w:tcBorders>
            <w:vAlign w:val="center"/>
            <w:hideMark/>
          </w:tcPr>
          <w:p w14:paraId="1DCF0B36"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874.14</w:t>
            </w:r>
          </w:p>
        </w:tc>
        <w:tc>
          <w:tcPr>
            <w:tcW w:w="1930" w:type="dxa"/>
            <w:tcBorders>
              <w:top w:val="nil"/>
              <w:left w:val="nil"/>
              <w:bottom w:val="nil"/>
              <w:right w:val="nil"/>
            </w:tcBorders>
            <w:vAlign w:val="center"/>
            <w:hideMark/>
          </w:tcPr>
          <w:p w14:paraId="2AEDD8A1"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Chinchaga</w:t>
            </w:r>
          </w:p>
        </w:tc>
        <w:tc>
          <w:tcPr>
            <w:tcW w:w="1364" w:type="dxa"/>
            <w:tcBorders>
              <w:top w:val="nil"/>
              <w:left w:val="nil"/>
              <w:bottom w:val="nil"/>
              <w:right w:val="nil"/>
            </w:tcBorders>
            <w:vAlign w:val="center"/>
            <w:hideMark/>
          </w:tcPr>
          <w:p w14:paraId="019C734E"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Dolostone</w:t>
            </w:r>
          </w:p>
        </w:tc>
      </w:tr>
      <w:tr w:rsidR="0043071A" w:rsidRPr="0043071A" w14:paraId="154063A6" w14:textId="77777777" w:rsidTr="00DE300F">
        <w:trPr>
          <w:trHeight w:val="340"/>
        </w:trPr>
        <w:tc>
          <w:tcPr>
            <w:tcW w:w="993" w:type="dxa"/>
            <w:tcBorders>
              <w:top w:val="nil"/>
              <w:left w:val="nil"/>
              <w:bottom w:val="nil"/>
              <w:right w:val="nil"/>
            </w:tcBorders>
            <w:noWrap/>
            <w:vAlign w:val="center"/>
            <w:hideMark/>
          </w:tcPr>
          <w:p w14:paraId="6DA93557"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O-25</w:t>
            </w:r>
          </w:p>
        </w:tc>
        <w:tc>
          <w:tcPr>
            <w:tcW w:w="1417" w:type="dxa"/>
            <w:tcBorders>
              <w:top w:val="nil"/>
              <w:left w:val="nil"/>
              <w:bottom w:val="nil"/>
              <w:right w:val="nil"/>
            </w:tcBorders>
            <w:vAlign w:val="center"/>
            <w:hideMark/>
          </w:tcPr>
          <w:p w14:paraId="0F702D4A"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879.55</w:t>
            </w:r>
          </w:p>
        </w:tc>
        <w:tc>
          <w:tcPr>
            <w:tcW w:w="1930" w:type="dxa"/>
            <w:tcBorders>
              <w:top w:val="nil"/>
              <w:left w:val="nil"/>
              <w:bottom w:val="nil"/>
              <w:right w:val="nil"/>
            </w:tcBorders>
            <w:vAlign w:val="center"/>
            <w:hideMark/>
          </w:tcPr>
          <w:p w14:paraId="5D862BE6"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Chinchaga</w:t>
            </w:r>
          </w:p>
        </w:tc>
        <w:tc>
          <w:tcPr>
            <w:tcW w:w="1364" w:type="dxa"/>
            <w:tcBorders>
              <w:top w:val="nil"/>
              <w:left w:val="nil"/>
              <w:bottom w:val="nil"/>
              <w:right w:val="nil"/>
            </w:tcBorders>
            <w:vAlign w:val="center"/>
            <w:hideMark/>
          </w:tcPr>
          <w:p w14:paraId="7F4F0359"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Anhydrite</w:t>
            </w:r>
          </w:p>
        </w:tc>
      </w:tr>
      <w:tr w:rsidR="0043071A" w:rsidRPr="0043071A" w14:paraId="7DFD3924" w14:textId="77777777" w:rsidTr="00DE300F">
        <w:trPr>
          <w:trHeight w:val="340"/>
        </w:trPr>
        <w:tc>
          <w:tcPr>
            <w:tcW w:w="993" w:type="dxa"/>
            <w:tcBorders>
              <w:top w:val="nil"/>
              <w:left w:val="nil"/>
              <w:bottom w:val="nil"/>
              <w:right w:val="nil"/>
            </w:tcBorders>
            <w:noWrap/>
            <w:vAlign w:val="center"/>
            <w:hideMark/>
          </w:tcPr>
          <w:p w14:paraId="2033F8BF"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O-25</w:t>
            </w:r>
          </w:p>
        </w:tc>
        <w:tc>
          <w:tcPr>
            <w:tcW w:w="1417" w:type="dxa"/>
            <w:tcBorders>
              <w:top w:val="nil"/>
              <w:left w:val="nil"/>
              <w:bottom w:val="nil"/>
              <w:right w:val="nil"/>
            </w:tcBorders>
            <w:vAlign w:val="center"/>
            <w:hideMark/>
          </w:tcPr>
          <w:p w14:paraId="04DA7668"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881.7</w:t>
            </w:r>
          </w:p>
        </w:tc>
        <w:tc>
          <w:tcPr>
            <w:tcW w:w="1930" w:type="dxa"/>
            <w:tcBorders>
              <w:top w:val="nil"/>
              <w:left w:val="nil"/>
              <w:bottom w:val="nil"/>
              <w:right w:val="nil"/>
            </w:tcBorders>
            <w:vAlign w:val="center"/>
            <w:hideMark/>
          </w:tcPr>
          <w:p w14:paraId="4BFD1E0A"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 xml:space="preserve">La Loche </w:t>
            </w:r>
          </w:p>
        </w:tc>
        <w:tc>
          <w:tcPr>
            <w:tcW w:w="1364" w:type="dxa"/>
            <w:tcBorders>
              <w:top w:val="nil"/>
              <w:left w:val="nil"/>
              <w:bottom w:val="nil"/>
              <w:right w:val="nil"/>
            </w:tcBorders>
            <w:vAlign w:val="center"/>
            <w:hideMark/>
          </w:tcPr>
          <w:p w14:paraId="4876508E"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Unknown</w:t>
            </w:r>
          </w:p>
        </w:tc>
      </w:tr>
      <w:tr w:rsidR="0043071A" w:rsidRPr="0043071A" w14:paraId="4A9CE35F" w14:textId="77777777" w:rsidTr="00DE300F">
        <w:trPr>
          <w:trHeight w:val="340"/>
        </w:trPr>
        <w:tc>
          <w:tcPr>
            <w:tcW w:w="993" w:type="dxa"/>
            <w:tcBorders>
              <w:top w:val="nil"/>
              <w:left w:val="nil"/>
              <w:bottom w:val="nil"/>
              <w:right w:val="nil"/>
            </w:tcBorders>
            <w:noWrap/>
            <w:vAlign w:val="center"/>
            <w:hideMark/>
          </w:tcPr>
          <w:p w14:paraId="0EC56F46"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O-25</w:t>
            </w:r>
          </w:p>
        </w:tc>
        <w:tc>
          <w:tcPr>
            <w:tcW w:w="1417" w:type="dxa"/>
            <w:tcBorders>
              <w:top w:val="nil"/>
              <w:left w:val="nil"/>
              <w:bottom w:val="nil"/>
              <w:right w:val="nil"/>
            </w:tcBorders>
            <w:vAlign w:val="center"/>
            <w:hideMark/>
          </w:tcPr>
          <w:p w14:paraId="474A7F8F"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882.19</w:t>
            </w:r>
          </w:p>
        </w:tc>
        <w:tc>
          <w:tcPr>
            <w:tcW w:w="1930" w:type="dxa"/>
            <w:tcBorders>
              <w:top w:val="nil"/>
              <w:left w:val="nil"/>
              <w:bottom w:val="nil"/>
              <w:right w:val="nil"/>
            </w:tcBorders>
            <w:vAlign w:val="center"/>
            <w:hideMark/>
          </w:tcPr>
          <w:p w14:paraId="100C7475"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 xml:space="preserve">La Loche </w:t>
            </w:r>
          </w:p>
        </w:tc>
        <w:tc>
          <w:tcPr>
            <w:tcW w:w="1364" w:type="dxa"/>
            <w:tcBorders>
              <w:top w:val="nil"/>
              <w:left w:val="nil"/>
              <w:bottom w:val="nil"/>
              <w:right w:val="nil"/>
            </w:tcBorders>
            <w:vAlign w:val="center"/>
            <w:hideMark/>
          </w:tcPr>
          <w:p w14:paraId="48DC685F"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Unknown</w:t>
            </w:r>
          </w:p>
        </w:tc>
      </w:tr>
      <w:tr w:rsidR="0043071A" w:rsidRPr="0043071A" w14:paraId="5CFE2962" w14:textId="77777777" w:rsidTr="00596EB6">
        <w:trPr>
          <w:trHeight w:val="567"/>
        </w:trPr>
        <w:tc>
          <w:tcPr>
            <w:tcW w:w="993" w:type="dxa"/>
            <w:tcBorders>
              <w:top w:val="nil"/>
              <w:left w:val="nil"/>
              <w:bottom w:val="nil"/>
              <w:right w:val="nil"/>
            </w:tcBorders>
            <w:noWrap/>
            <w:vAlign w:val="center"/>
            <w:hideMark/>
          </w:tcPr>
          <w:p w14:paraId="3EBB4A36"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O-25</w:t>
            </w:r>
          </w:p>
        </w:tc>
        <w:tc>
          <w:tcPr>
            <w:tcW w:w="1417" w:type="dxa"/>
            <w:tcBorders>
              <w:top w:val="nil"/>
              <w:left w:val="nil"/>
              <w:bottom w:val="nil"/>
              <w:right w:val="nil"/>
            </w:tcBorders>
            <w:vAlign w:val="center"/>
            <w:hideMark/>
          </w:tcPr>
          <w:p w14:paraId="321AE0F2"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885.93</w:t>
            </w:r>
          </w:p>
        </w:tc>
        <w:tc>
          <w:tcPr>
            <w:tcW w:w="1930" w:type="dxa"/>
            <w:tcBorders>
              <w:top w:val="nil"/>
              <w:left w:val="nil"/>
              <w:bottom w:val="nil"/>
              <w:right w:val="nil"/>
            </w:tcBorders>
            <w:vAlign w:val="center"/>
            <w:hideMark/>
          </w:tcPr>
          <w:p w14:paraId="4C3469E6"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Precambrian basement</w:t>
            </w:r>
          </w:p>
        </w:tc>
        <w:tc>
          <w:tcPr>
            <w:tcW w:w="1364" w:type="dxa"/>
            <w:tcBorders>
              <w:top w:val="nil"/>
              <w:left w:val="nil"/>
              <w:bottom w:val="nil"/>
              <w:right w:val="nil"/>
            </w:tcBorders>
            <w:vAlign w:val="center"/>
            <w:hideMark/>
          </w:tcPr>
          <w:p w14:paraId="11CF690F"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Granitoid</w:t>
            </w:r>
          </w:p>
        </w:tc>
      </w:tr>
      <w:tr w:rsidR="0043071A" w:rsidRPr="0043071A" w14:paraId="0417D275" w14:textId="77777777" w:rsidTr="00596EB6">
        <w:trPr>
          <w:trHeight w:val="567"/>
        </w:trPr>
        <w:tc>
          <w:tcPr>
            <w:tcW w:w="993" w:type="dxa"/>
            <w:tcBorders>
              <w:top w:val="nil"/>
              <w:left w:val="nil"/>
              <w:right w:val="nil"/>
            </w:tcBorders>
            <w:noWrap/>
            <w:vAlign w:val="center"/>
            <w:hideMark/>
          </w:tcPr>
          <w:p w14:paraId="49E8AF7B"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O-25</w:t>
            </w:r>
          </w:p>
        </w:tc>
        <w:tc>
          <w:tcPr>
            <w:tcW w:w="1417" w:type="dxa"/>
            <w:tcBorders>
              <w:top w:val="nil"/>
              <w:left w:val="nil"/>
              <w:right w:val="nil"/>
            </w:tcBorders>
            <w:vAlign w:val="center"/>
            <w:hideMark/>
          </w:tcPr>
          <w:p w14:paraId="7EA0DA78"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886.51</w:t>
            </w:r>
          </w:p>
        </w:tc>
        <w:tc>
          <w:tcPr>
            <w:tcW w:w="1930" w:type="dxa"/>
            <w:tcBorders>
              <w:top w:val="nil"/>
              <w:left w:val="nil"/>
              <w:right w:val="nil"/>
            </w:tcBorders>
            <w:vAlign w:val="center"/>
            <w:hideMark/>
          </w:tcPr>
          <w:p w14:paraId="7BEA3729"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Precambrian basement</w:t>
            </w:r>
          </w:p>
        </w:tc>
        <w:tc>
          <w:tcPr>
            <w:tcW w:w="1364" w:type="dxa"/>
            <w:tcBorders>
              <w:top w:val="nil"/>
              <w:left w:val="nil"/>
              <w:right w:val="nil"/>
            </w:tcBorders>
            <w:vAlign w:val="center"/>
            <w:hideMark/>
          </w:tcPr>
          <w:p w14:paraId="63530C9D" w14:textId="77777777" w:rsidR="0043071A" w:rsidRPr="0043071A" w:rsidRDefault="0043071A" w:rsidP="0043071A">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Granitoid</w:t>
            </w:r>
          </w:p>
        </w:tc>
      </w:tr>
    </w:tbl>
    <w:p w14:paraId="6B15BE00" w14:textId="56A23352" w:rsidR="00681BEC" w:rsidRDefault="00681BEC" w:rsidP="00681BEC">
      <w:pPr>
        <w:spacing w:line="278" w:lineRule="auto"/>
        <w:jc w:val="left"/>
      </w:pPr>
      <w:r>
        <w:br w:type="page"/>
      </w:r>
    </w:p>
    <w:p w14:paraId="56DF9B28" w14:textId="5A80B5B9" w:rsidR="00681BEC" w:rsidRDefault="00681BEC" w:rsidP="00681BEC">
      <w:pPr>
        <w:pStyle w:val="Caption"/>
        <w:keepNext/>
      </w:pPr>
      <w:bookmarkStart w:id="1" w:name="_Ref212814824"/>
      <w:r>
        <w:lastRenderedPageBreak/>
        <w:t xml:space="preserve">Table </w:t>
      </w:r>
      <w:r>
        <w:fldChar w:fldCharType="begin"/>
      </w:r>
      <w:r>
        <w:instrText xml:space="preserve"> SEQ Table \* ARABIC </w:instrText>
      </w:r>
      <w:r>
        <w:fldChar w:fldCharType="separate"/>
      </w:r>
      <w:r w:rsidR="002948B9">
        <w:rPr>
          <w:noProof/>
        </w:rPr>
        <w:t>2</w:t>
      </w:r>
      <w:r>
        <w:fldChar w:fldCharType="end"/>
      </w:r>
      <w:bookmarkEnd w:id="1"/>
      <w:r>
        <w:t xml:space="preserve">. Core samples collected from wells </w:t>
      </w:r>
      <w:r>
        <w:rPr>
          <w:lang w:val="en-CA"/>
        </w:rPr>
        <w:t>f</w:t>
      </w:r>
      <w:r w:rsidRPr="00BF6499">
        <w:rPr>
          <w:lang w:val="en-CA"/>
        </w:rPr>
        <w:t>or SR</w:t>
      </w:r>
      <w:r>
        <w:rPr>
          <w:lang w:val="en-CA"/>
        </w:rPr>
        <w:t>-</w:t>
      </w:r>
      <w:r w:rsidRPr="00BF6499">
        <w:rPr>
          <w:lang w:val="en-CA"/>
        </w:rPr>
        <w:t>202</w:t>
      </w:r>
      <w:r>
        <w:rPr>
          <w:lang w:val="en-CA"/>
        </w:rPr>
        <w:t>3</w:t>
      </w:r>
      <w:r w:rsidRPr="00BF6499">
        <w:rPr>
          <w:lang w:val="en-CA"/>
        </w:rPr>
        <w:t>-00</w:t>
      </w:r>
      <w:r>
        <w:rPr>
          <w:lang w:val="en-CA"/>
        </w:rPr>
        <w:t>4 request.</w:t>
      </w:r>
    </w:p>
    <w:tbl>
      <w:tblPr>
        <w:tblW w:w="5704" w:type="dxa"/>
        <w:tblLook w:val="04A0" w:firstRow="1" w:lastRow="0" w:firstColumn="1" w:lastColumn="0" w:noHBand="0" w:noVBand="1"/>
      </w:tblPr>
      <w:tblGrid>
        <w:gridCol w:w="993"/>
        <w:gridCol w:w="1275"/>
        <w:gridCol w:w="2072"/>
        <w:gridCol w:w="1364"/>
      </w:tblGrid>
      <w:tr w:rsidR="0043071A" w:rsidRPr="0043071A" w14:paraId="60E7585F" w14:textId="77777777" w:rsidTr="00DE300F">
        <w:trPr>
          <w:trHeight w:val="320"/>
        </w:trPr>
        <w:tc>
          <w:tcPr>
            <w:tcW w:w="993" w:type="dxa"/>
            <w:tcBorders>
              <w:top w:val="nil"/>
              <w:left w:val="nil"/>
              <w:bottom w:val="single" w:sz="4" w:space="0" w:color="auto"/>
              <w:right w:val="nil"/>
            </w:tcBorders>
            <w:noWrap/>
            <w:vAlign w:val="center"/>
            <w:hideMark/>
          </w:tcPr>
          <w:p w14:paraId="688B798C" w14:textId="77777777" w:rsidR="0043071A" w:rsidRPr="0043071A" w:rsidRDefault="0043071A" w:rsidP="00DE300F">
            <w:pPr>
              <w:spacing w:after="0" w:line="240" w:lineRule="auto"/>
              <w:jc w:val="center"/>
              <w:rPr>
                <w:rFonts w:eastAsia="Times New Roman" w:cs="Times New Roman"/>
                <w:kern w:val="0"/>
                <w:sz w:val="20"/>
                <w:szCs w:val="20"/>
                <w:lang w:val="en-CA"/>
                <w14:ligatures w14:val="none"/>
              </w:rPr>
            </w:pPr>
            <w:r w:rsidRPr="0043071A">
              <w:rPr>
                <w:rFonts w:ascii="Arial" w:eastAsia="Times New Roman" w:hAnsi="Arial" w:cs="Arial"/>
                <w:b/>
                <w:bCs/>
                <w:kern w:val="0"/>
                <w:lang w:val="en-CA"/>
                <w14:ligatures w14:val="none"/>
              </w:rPr>
              <w:t>Well</w:t>
            </w:r>
          </w:p>
        </w:tc>
        <w:tc>
          <w:tcPr>
            <w:tcW w:w="1275" w:type="dxa"/>
            <w:tcBorders>
              <w:top w:val="nil"/>
              <w:left w:val="nil"/>
              <w:bottom w:val="single" w:sz="4" w:space="0" w:color="auto"/>
              <w:right w:val="nil"/>
            </w:tcBorders>
            <w:noWrap/>
            <w:vAlign w:val="center"/>
            <w:hideMark/>
          </w:tcPr>
          <w:p w14:paraId="49C2D131" w14:textId="5078D226" w:rsidR="0043071A" w:rsidRPr="0043071A" w:rsidRDefault="0043071A" w:rsidP="002D4B3D">
            <w:pPr>
              <w:spacing w:after="0" w:line="240" w:lineRule="auto"/>
              <w:jc w:val="center"/>
              <w:rPr>
                <w:rFonts w:eastAsia="Times New Roman" w:cs="Times New Roman"/>
                <w:kern w:val="0"/>
                <w:sz w:val="20"/>
                <w:szCs w:val="20"/>
                <w:lang w:val="en-CA"/>
                <w14:ligatures w14:val="none"/>
              </w:rPr>
            </w:pPr>
            <w:r w:rsidRPr="0043071A">
              <w:rPr>
                <w:rFonts w:ascii="Arial" w:eastAsia="Times New Roman" w:hAnsi="Arial" w:cs="Arial"/>
                <w:b/>
                <w:bCs/>
                <w:kern w:val="0"/>
                <w:lang w:val="en-CA"/>
                <w14:ligatures w14:val="none"/>
              </w:rPr>
              <w:t>Depth</w:t>
            </w:r>
            <w:r w:rsidR="00DE300F">
              <w:rPr>
                <w:rFonts w:ascii="Arial" w:eastAsia="Times New Roman" w:hAnsi="Arial" w:cs="Arial"/>
                <w:b/>
                <w:bCs/>
                <w:kern w:val="0"/>
                <w:lang w:val="en-CA"/>
                <w14:ligatures w14:val="none"/>
              </w:rPr>
              <w:t xml:space="preserve"> (m)</w:t>
            </w:r>
          </w:p>
        </w:tc>
        <w:tc>
          <w:tcPr>
            <w:tcW w:w="2072" w:type="dxa"/>
            <w:tcBorders>
              <w:top w:val="nil"/>
              <w:left w:val="nil"/>
              <w:bottom w:val="single" w:sz="4" w:space="0" w:color="auto"/>
              <w:right w:val="nil"/>
            </w:tcBorders>
            <w:noWrap/>
            <w:vAlign w:val="center"/>
            <w:hideMark/>
          </w:tcPr>
          <w:p w14:paraId="51E01CC4" w14:textId="77777777" w:rsidR="0043071A" w:rsidRPr="0043071A" w:rsidRDefault="0043071A" w:rsidP="002D4B3D">
            <w:pPr>
              <w:spacing w:after="0" w:line="240" w:lineRule="auto"/>
              <w:jc w:val="center"/>
              <w:rPr>
                <w:rFonts w:eastAsia="Times New Roman" w:cs="Times New Roman"/>
                <w:kern w:val="0"/>
                <w:sz w:val="20"/>
                <w:szCs w:val="20"/>
                <w:lang w:val="en-CA"/>
                <w14:ligatures w14:val="none"/>
              </w:rPr>
            </w:pPr>
            <w:r w:rsidRPr="0043071A">
              <w:rPr>
                <w:rFonts w:ascii="Arial" w:eastAsia="Times New Roman" w:hAnsi="Arial" w:cs="Arial"/>
                <w:b/>
                <w:bCs/>
                <w:kern w:val="0"/>
                <w:lang w:val="en-CA"/>
                <w14:ligatures w14:val="none"/>
              </w:rPr>
              <w:t xml:space="preserve"> Formation</w:t>
            </w:r>
          </w:p>
        </w:tc>
        <w:tc>
          <w:tcPr>
            <w:tcW w:w="1364" w:type="dxa"/>
            <w:tcBorders>
              <w:top w:val="nil"/>
              <w:left w:val="nil"/>
              <w:bottom w:val="single" w:sz="4" w:space="0" w:color="auto"/>
              <w:right w:val="nil"/>
            </w:tcBorders>
            <w:noWrap/>
            <w:vAlign w:val="center"/>
            <w:hideMark/>
          </w:tcPr>
          <w:p w14:paraId="1DBC6E7C" w14:textId="77777777" w:rsidR="0043071A" w:rsidRPr="0043071A" w:rsidRDefault="0043071A" w:rsidP="002D4B3D">
            <w:pPr>
              <w:spacing w:after="0" w:line="240" w:lineRule="auto"/>
              <w:jc w:val="center"/>
              <w:rPr>
                <w:rFonts w:eastAsia="Times New Roman" w:cs="Times New Roman"/>
                <w:kern w:val="0"/>
                <w:sz w:val="20"/>
                <w:szCs w:val="20"/>
                <w:lang w:val="en-CA"/>
                <w14:ligatures w14:val="none"/>
              </w:rPr>
            </w:pPr>
            <w:r w:rsidRPr="0043071A">
              <w:rPr>
                <w:rFonts w:ascii="Arial" w:eastAsia="Times New Roman" w:hAnsi="Arial" w:cs="Arial"/>
                <w:b/>
                <w:bCs/>
                <w:kern w:val="0"/>
                <w:lang w:val="en-CA"/>
                <w14:ligatures w14:val="none"/>
              </w:rPr>
              <w:t>Lithology</w:t>
            </w:r>
          </w:p>
        </w:tc>
      </w:tr>
      <w:tr w:rsidR="0043071A" w:rsidRPr="0043071A" w14:paraId="7C3F69C7" w14:textId="77777777" w:rsidTr="00596EB6">
        <w:trPr>
          <w:trHeight w:val="567"/>
        </w:trPr>
        <w:tc>
          <w:tcPr>
            <w:tcW w:w="993" w:type="dxa"/>
            <w:tcBorders>
              <w:top w:val="single" w:sz="4" w:space="0" w:color="auto"/>
              <w:left w:val="nil"/>
              <w:bottom w:val="nil"/>
              <w:right w:val="nil"/>
            </w:tcBorders>
            <w:noWrap/>
            <w:vAlign w:val="center"/>
            <w:hideMark/>
          </w:tcPr>
          <w:p w14:paraId="26361FBC" w14:textId="77777777" w:rsidR="0043071A" w:rsidRPr="0043071A" w:rsidRDefault="0043071A" w:rsidP="00DE300F">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A-21</w:t>
            </w:r>
          </w:p>
        </w:tc>
        <w:tc>
          <w:tcPr>
            <w:tcW w:w="1275" w:type="dxa"/>
            <w:tcBorders>
              <w:top w:val="single" w:sz="4" w:space="0" w:color="auto"/>
              <w:left w:val="nil"/>
              <w:bottom w:val="nil"/>
              <w:right w:val="nil"/>
            </w:tcBorders>
            <w:vAlign w:val="center"/>
            <w:hideMark/>
          </w:tcPr>
          <w:p w14:paraId="056C465E"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418</w:t>
            </w:r>
          </w:p>
        </w:tc>
        <w:tc>
          <w:tcPr>
            <w:tcW w:w="2072" w:type="dxa"/>
            <w:tcBorders>
              <w:top w:val="single" w:sz="4" w:space="0" w:color="auto"/>
              <w:left w:val="nil"/>
              <w:bottom w:val="nil"/>
              <w:right w:val="nil"/>
            </w:tcBorders>
            <w:vAlign w:val="center"/>
            <w:hideMark/>
          </w:tcPr>
          <w:p w14:paraId="25D43A2C"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Precambrian basement</w:t>
            </w:r>
          </w:p>
        </w:tc>
        <w:tc>
          <w:tcPr>
            <w:tcW w:w="1364" w:type="dxa"/>
            <w:tcBorders>
              <w:top w:val="single" w:sz="4" w:space="0" w:color="auto"/>
              <w:left w:val="nil"/>
              <w:bottom w:val="nil"/>
              <w:right w:val="nil"/>
            </w:tcBorders>
            <w:vAlign w:val="center"/>
            <w:hideMark/>
          </w:tcPr>
          <w:p w14:paraId="59C88266"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Granitoid</w:t>
            </w:r>
          </w:p>
        </w:tc>
      </w:tr>
      <w:tr w:rsidR="0043071A" w:rsidRPr="0043071A" w14:paraId="6030B552" w14:textId="77777777" w:rsidTr="00596EB6">
        <w:trPr>
          <w:trHeight w:val="567"/>
        </w:trPr>
        <w:tc>
          <w:tcPr>
            <w:tcW w:w="993" w:type="dxa"/>
            <w:tcBorders>
              <w:top w:val="nil"/>
              <w:left w:val="nil"/>
              <w:bottom w:val="nil"/>
              <w:right w:val="nil"/>
            </w:tcBorders>
            <w:noWrap/>
            <w:vAlign w:val="center"/>
            <w:hideMark/>
          </w:tcPr>
          <w:p w14:paraId="27C9F89F" w14:textId="77777777" w:rsidR="0043071A" w:rsidRPr="0043071A" w:rsidRDefault="0043071A" w:rsidP="00DE300F">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A-21</w:t>
            </w:r>
          </w:p>
        </w:tc>
        <w:tc>
          <w:tcPr>
            <w:tcW w:w="1275" w:type="dxa"/>
            <w:tcBorders>
              <w:top w:val="nil"/>
              <w:left w:val="nil"/>
              <w:bottom w:val="nil"/>
              <w:right w:val="nil"/>
            </w:tcBorders>
            <w:vAlign w:val="center"/>
            <w:hideMark/>
          </w:tcPr>
          <w:p w14:paraId="0A53B306"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418,8</w:t>
            </w:r>
          </w:p>
        </w:tc>
        <w:tc>
          <w:tcPr>
            <w:tcW w:w="2072" w:type="dxa"/>
            <w:tcBorders>
              <w:top w:val="nil"/>
              <w:left w:val="nil"/>
              <w:bottom w:val="nil"/>
              <w:right w:val="nil"/>
            </w:tcBorders>
            <w:vAlign w:val="center"/>
            <w:hideMark/>
          </w:tcPr>
          <w:p w14:paraId="480796B1"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Precambrian basement</w:t>
            </w:r>
          </w:p>
        </w:tc>
        <w:tc>
          <w:tcPr>
            <w:tcW w:w="1364" w:type="dxa"/>
            <w:tcBorders>
              <w:top w:val="nil"/>
              <w:left w:val="nil"/>
              <w:bottom w:val="nil"/>
              <w:right w:val="nil"/>
            </w:tcBorders>
            <w:vAlign w:val="center"/>
            <w:hideMark/>
          </w:tcPr>
          <w:p w14:paraId="662CCFE7"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Granitoid</w:t>
            </w:r>
          </w:p>
        </w:tc>
      </w:tr>
      <w:tr w:rsidR="0043071A" w:rsidRPr="0043071A" w14:paraId="59FF5C6A" w14:textId="77777777" w:rsidTr="00596EB6">
        <w:trPr>
          <w:trHeight w:val="567"/>
        </w:trPr>
        <w:tc>
          <w:tcPr>
            <w:tcW w:w="993" w:type="dxa"/>
            <w:tcBorders>
              <w:top w:val="nil"/>
              <w:left w:val="nil"/>
              <w:bottom w:val="nil"/>
              <w:right w:val="nil"/>
            </w:tcBorders>
            <w:noWrap/>
            <w:vAlign w:val="center"/>
            <w:hideMark/>
          </w:tcPr>
          <w:p w14:paraId="47A8F3EA" w14:textId="77777777" w:rsidR="0043071A" w:rsidRPr="0043071A" w:rsidRDefault="0043071A" w:rsidP="00DE300F">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G-68</w:t>
            </w:r>
          </w:p>
        </w:tc>
        <w:tc>
          <w:tcPr>
            <w:tcW w:w="1275" w:type="dxa"/>
            <w:tcBorders>
              <w:top w:val="nil"/>
              <w:left w:val="nil"/>
              <w:bottom w:val="nil"/>
              <w:right w:val="nil"/>
            </w:tcBorders>
            <w:vAlign w:val="center"/>
            <w:hideMark/>
          </w:tcPr>
          <w:p w14:paraId="37A22BC7"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388,6</w:t>
            </w:r>
          </w:p>
        </w:tc>
        <w:tc>
          <w:tcPr>
            <w:tcW w:w="2072" w:type="dxa"/>
            <w:tcBorders>
              <w:top w:val="nil"/>
              <w:left w:val="nil"/>
              <w:bottom w:val="nil"/>
              <w:right w:val="nil"/>
            </w:tcBorders>
            <w:vAlign w:val="center"/>
            <w:hideMark/>
          </w:tcPr>
          <w:p w14:paraId="63764DFA"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Precambrian basement</w:t>
            </w:r>
          </w:p>
        </w:tc>
        <w:tc>
          <w:tcPr>
            <w:tcW w:w="1364" w:type="dxa"/>
            <w:tcBorders>
              <w:top w:val="nil"/>
              <w:left w:val="nil"/>
              <w:bottom w:val="nil"/>
              <w:right w:val="nil"/>
            </w:tcBorders>
            <w:vAlign w:val="center"/>
            <w:hideMark/>
          </w:tcPr>
          <w:p w14:paraId="4C9A641C"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Granitoid</w:t>
            </w:r>
          </w:p>
        </w:tc>
      </w:tr>
      <w:tr w:rsidR="0043071A" w:rsidRPr="0043071A" w14:paraId="2B278046" w14:textId="77777777" w:rsidTr="00596EB6">
        <w:trPr>
          <w:trHeight w:val="567"/>
        </w:trPr>
        <w:tc>
          <w:tcPr>
            <w:tcW w:w="993" w:type="dxa"/>
            <w:tcBorders>
              <w:top w:val="nil"/>
              <w:left w:val="nil"/>
              <w:bottom w:val="nil"/>
              <w:right w:val="nil"/>
            </w:tcBorders>
            <w:noWrap/>
            <w:vAlign w:val="center"/>
            <w:hideMark/>
          </w:tcPr>
          <w:p w14:paraId="34892AF8" w14:textId="77777777" w:rsidR="0043071A" w:rsidRPr="0043071A" w:rsidRDefault="0043071A" w:rsidP="00DE300F">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G-68</w:t>
            </w:r>
          </w:p>
        </w:tc>
        <w:tc>
          <w:tcPr>
            <w:tcW w:w="1275" w:type="dxa"/>
            <w:tcBorders>
              <w:top w:val="nil"/>
              <w:left w:val="nil"/>
              <w:bottom w:val="nil"/>
              <w:right w:val="nil"/>
            </w:tcBorders>
            <w:vAlign w:val="center"/>
            <w:hideMark/>
          </w:tcPr>
          <w:p w14:paraId="0D424B7B"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389</w:t>
            </w:r>
          </w:p>
        </w:tc>
        <w:tc>
          <w:tcPr>
            <w:tcW w:w="2072" w:type="dxa"/>
            <w:tcBorders>
              <w:top w:val="nil"/>
              <w:left w:val="nil"/>
              <w:bottom w:val="nil"/>
              <w:right w:val="nil"/>
            </w:tcBorders>
            <w:vAlign w:val="center"/>
            <w:hideMark/>
          </w:tcPr>
          <w:p w14:paraId="435669ED"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Precambrian basement</w:t>
            </w:r>
          </w:p>
        </w:tc>
        <w:tc>
          <w:tcPr>
            <w:tcW w:w="1364" w:type="dxa"/>
            <w:tcBorders>
              <w:top w:val="nil"/>
              <w:left w:val="nil"/>
              <w:bottom w:val="nil"/>
              <w:right w:val="nil"/>
            </w:tcBorders>
            <w:vAlign w:val="center"/>
            <w:hideMark/>
          </w:tcPr>
          <w:p w14:paraId="652A846F"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Granitoid</w:t>
            </w:r>
          </w:p>
        </w:tc>
      </w:tr>
      <w:tr w:rsidR="0043071A" w:rsidRPr="0043071A" w14:paraId="7BAEB4A4" w14:textId="77777777" w:rsidTr="00596EB6">
        <w:trPr>
          <w:trHeight w:val="567"/>
        </w:trPr>
        <w:tc>
          <w:tcPr>
            <w:tcW w:w="993" w:type="dxa"/>
            <w:tcBorders>
              <w:top w:val="nil"/>
              <w:left w:val="nil"/>
              <w:bottom w:val="nil"/>
              <w:right w:val="nil"/>
            </w:tcBorders>
            <w:noWrap/>
            <w:vAlign w:val="center"/>
            <w:hideMark/>
          </w:tcPr>
          <w:p w14:paraId="2570D120" w14:textId="77777777" w:rsidR="0043071A" w:rsidRPr="0043071A" w:rsidRDefault="0043071A" w:rsidP="00DE300F">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H-27</w:t>
            </w:r>
          </w:p>
        </w:tc>
        <w:tc>
          <w:tcPr>
            <w:tcW w:w="1275" w:type="dxa"/>
            <w:tcBorders>
              <w:top w:val="nil"/>
              <w:left w:val="nil"/>
              <w:bottom w:val="nil"/>
              <w:right w:val="nil"/>
            </w:tcBorders>
            <w:vAlign w:val="center"/>
            <w:hideMark/>
          </w:tcPr>
          <w:p w14:paraId="74138E57"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520,75</w:t>
            </w:r>
          </w:p>
        </w:tc>
        <w:tc>
          <w:tcPr>
            <w:tcW w:w="2072" w:type="dxa"/>
            <w:tcBorders>
              <w:top w:val="nil"/>
              <w:left w:val="nil"/>
              <w:bottom w:val="nil"/>
              <w:right w:val="nil"/>
            </w:tcBorders>
            <w:vAlign w:val="center"/>
            <w:hideMark/>
          </w:tcPr>
          <w:p w14:paraId="2D489804"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Precambrian basement</w:t>
            </w:r>
          </w:p>
        </w:tc>
        <w:tc>
          <w:tcPr>
            <w:tcW w:w="1364" w:type="dxa"/>
            <w:tcBorders>
              <w:top w:val="nil"/>
              <w:left w:val="nil"/>
              <w:bottom w:val="nil"/>
              <w:right w:val="nil"/>
            </w:tcBorders>
            <w:vAlign w:val="center"/>
            <w:hideMark/>
          </w:tcPr>
          <w:p w14:paraId="54FCA765"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Granitoid</w:t>
            </w:r>
          </w:p>
        </w:tc>
      </w:tr>
      <w:tr w:rsidR="0043071A" w:rsidRPr="0043071A" w14:paraId="77024480" w14:textId="77777777" w:rsidTr="00596EB6">
        <w:trPr>
          <w:trHeight w:val="567"/>
        </w:trPr>
        <w:tc>
          <w:tcPr>
            <w:tcW w:w="993" w:type="dxa"/>
            <w:tcBorders>
              <w:top w:val="nil"/>
              <w:left w:val="nil"/>
              <w:bottom w:val="nil"/>
              <w:right w:val="nil"/>
            </w:tcBorders>
            <w:noWrap/>
            <w:vAlign w:val="center"/>
            <w:hideMark/>
          </w:tcPr>
          <w:p w14:paraId="7854E771" w14:textId="77777777" w:rsidR="0043071A" w:rsidRPr="0043071A" w:rsidRDefault="0043071A" w:rsidP="00DE300F">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H-27</w:t>
            </w:r>
          </w:p>
        </w:tc>
        <w:tc>
          <w:tcPr>
            <w:tcW w:w="1275" w:type="dxa"/>
            <w:tcBorders>
              <w:top w:val="nil"/>
              <w:left w:val="nil"/>
              <w:bottom w:val="nil"/>
              <w:right w:val="nil"/>
            </w:tcBorders>
            <w:vAlign w:val="center"/>
            <w:hideMark/>
          </w:tcPr>
          <w:p w14:paraId="6C3FE198"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520,8</w:t>
            </w:r>
          </w:p>
        </w:tc>
        <w:tc>
          <w:tcPr>
            <w:tcW w:w="2072" w:type="dxa"/>
            <w:tcBorders>
              <w:top w:val="nil"/>
              <w:left w:val="nil"/>
              <w:bottom w:val="nil"/>
              <w:right w:val="nil"/>
            </w:tcBorders>
            <w:vAlign w:val="center"/>
            <w:hideMark/>
          </w:tcPr>
          <w:p w14:paraId="69BE74AF"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Precambrian basement</w:t>
            </w:r>
          </w:p>
        </w:tc>
        <w:tc>
          <w:tcPr>
            <w:tcW w:w="1364" w:type="dxa"/>
            <w:tcBorders>
              <w:top w:val="nil"/>
              <w:left w:val="nil"/>
              <w:bottom w:val="nil"/>
              <w:right w:val="nil"/>
            </w:tcBorders>
            <w:vAlign w:val="center"/>
            <w:hideMark/>
          </w:tcPr>
          <w:p w14:paraId="4A8F5024"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Granitoid</w:t>
            </w:r>
          </w:p>
        </w:tc>
      </w:tr>
      <w:tr w:rsidR="0043071A" w:rsidRPr="0043071A" w14:paraId="3EF394C5" w14:textId="77777777" w:rsidTr="00596EB6">
        <w:trPr>
          <w:trHeight w:val="567"/>
        </w:trPr>
        <w:tc>
          <w:tcPr>
            <w:tcW w:w="993" w:type="dxa"/>
            <w:tcBorders>
              <w:top w:val="nil"/>
              <w:left w:val="nil"/>
              <w:bottom w:val="nil"/>
              <w:right w:val="nil"/>
            </w:tcBorders>
            <w:noWrap/>
            <w:vAlign w:val="center"/>
            <w:hideMark/>
          </w:tcPr>
          <w:p w14:paraId="2D0AD105" w14:textId="77777777" w:rsidR="0043071A" w:rsidRPr="0043071A" w:rsidRDefault="0043071A" w:rsidP="00DE300F">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M-02</w:t>
            </w:r>
          </w:p>
        </w:tc>
        <w:tc>
          <w:tcPr>
            <w:tcW w:w="1275" w:type="dxa"/>
            <w:tcBorders>
              <w:top w:val="nil"/>
              <w:left w:val="nil"/>
              <w:bottom w:val="nil"/>
              <w:right w:val="nil"/>
            </w:tcBorders>
            <w:vAlign w:val="center"/>
            <w:hideMark/>
          </w:tcPr>
          <w:p w14:paraId="130183A9"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432,8</w:t>
            </w:r>
          </w:p>
        </w:tc>
        <w:tc>
          <w:tcPr>
            <w:tcW w:w="2072" w:type="dxa"/>
            <w:tcBorders>
              <w:top w:val="nil"/>
              <w:left w:val="nil"/>
              <w:bottom w:val="nil"/>
              <w:right w:val="nil"/>
            </w:tcBorders>
            <w:vAlign w:val="center"/>
            <w:hideMark/>
          </w:tcPr>
          <w:p w14:paraId="3C24B1E0"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Precambrian basement</w:t>
            </w:r>
          </w:p>
        </w:tc>
        <w:tc>
          <w:tcPr>
            <w:tcW w:w="1364" w:type="dxa"/>
            <w:tcBorders>
              <w:top w:val="nil"/>
              <w:left w:val="nil"/>
              <w:bottom w:val="nil"/>
              <w:right w:val="nil"/>
            </w:tcBorders>
            <w:vAlign w:val="center"/>
            <w:hideMark/>
          </w:tcPr>
          <w:p w14:paraId="66C8C327"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Granitoid</w:t>
            </w:r>
          </w:p>
        </w:tc>
      </w:tr>
      <w:tr w:rsidR="0043071A" w:rsidRPr="0043071A" w14:paraId="05852C0B" w14:textId="77777777" w:rsidTr="00596EB6">
        <w:trPr>
          <w:trHeight w:val="567"/>
        </w:trPr>
        <w:tc>
          <w:tcPr>
            <w:tcW w:w="993" w:type="dxa"/>
            <w:tcBorders>
              <w:top w:val="nil"/>
              <w:left w:val="nil"/>
              <w:bottom w:val="nil"/>
              <w:right w:val="nil"/>
            </w:tcBorders>
            <w:noWrap/>
            <w:vAlign w:val="center"/>
            <w:hideMark/>
          </w:tcPr>
          <w:p w14:paraId="219F2F19" w14:textId="77777777" w:rsidR="0043071A" w:rsidRPr="0043071A" w:rsidRDefault="0043071A" w:rsidP="00DE300F">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M-02</w:t>
            </w:r>
          </w:p>
        </w:tc>
        <w:tc>
          <w:tcPr>
            <w:tcW w:w="1275" w:type="dxa"/>
            <w:tcBorders>
              <w:top w:val="nil"/>
              <w:left w:val="nil"/>
              <w:bottom w:val="nil"/>
              <w:right w:val="nil"/>
            </w:tcBorders>
            <w:vAlign w:val="center"/>
            <w:hideMark/>
          </w:tcPr>
          <w:p w14:paraId="72DE8A47"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433,8</w:t>
            </w:r>
          </w:p>
        </w:tc>
        <w:tc>
          <w:tcPr>
            <w:tcW w:w="2072" w:type="dxa"/>
            <w:tcBorders>
              <w:top w:val="nil"/>
              <w:left w:val="nil"/>
              <w:bottom w:val="nil"/>
              <w:right w:val="nil"/>
            </w:tcBorders>
            <w:vAlign w:val="center"/>
            <w:hideMark/>
          </w:tcPr>
          <w:p w14:paraId="5E6BA879"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Precambrian basement</w:t>
            </w:r>
          </w:p>
        </w:tc>
        <w:tc>
          <w:tcPr>
            <w:tcW w:w="1364" w:type="dxa"/>
            <w:tcBorders>
              <w:top w:val="nil"/>
              <w:left w:val="nil"/>
              <w:bottom w:val="nil"/>
              <w:right w:val="nil"/>
            </w:tcBorders>
            <w:vAlign w:val="center"/>
            <w:hideMark/>
          </w:tcPr>
          <w:p w14:paraId="632B0C56" w14:textId="77777777" w:rsidR="0043071A" w:rsidRPr="0043071A" w:rsidRDefault="0043071A" w:rsidP="002D4B3D">
            <w:pPr>
              <w:spacing w:after="0" w:line="240" w:lineRule="auto"/>
              <w:jc w:val="center"/>
              <w:rPr>
                <w:rFonts w:ascii="Arial" w:eastAsia="Times New Roman" w:hAnsi="Arial" w:cs="Arial"/>
                <w:kern w:val="0"/>
                <w:lang w:val="en-CA"/>
                <w14:ligatures w14:val="none"/>
              </w:rPr>
            </w:pPr>
            <w:r w:rsidRPr="0043071A">
              <w:rPr>
                <w:rFonts w:ascii="Arial" w:eastAsia="Times New Roman" w:hAnsi="Arial" w:cs="Arial"/>
                <w:kern w:val="0"/>
                <w:lang w:val="en-CA"/>
                <w14:ligatures w14:val="none"/>
              </w:rPr>
              <w:t>Granitoid</w:t>
            </w:r>
          </w:p>
        </w:tc>
      </w:tr>
    </w:tbl>
    <w:p w14:paraId="600D28B0" w14:textId="1EA1FE13" w:rsidR="00682F20" w:rsidRDefault="00BF6499" w:rsidP="00681BEC">
      <w:pPr>
        <w:pStyle w:val="Heading2"/>
        <w:rPr>
          <w:lang w:val="en-CA"/>
        </w:rPr>
      </w:pPr>
      <w:r>
        <w:t>Summary and Interpreted Results</w:t>
      </w:r>
    </w:p>
    <w:p w14:paraId="443ED48D" w14:textId="2F462724" w:rsidR="00682F20" w:rsidRDefault="002C06A4" w:rsidP="00682F20">
      <w:r>
        <w:t>Two</w:t>
      </w:r>
      <w:r w:rsidR="005E2042">
        <w:t xml:space="preserve"> </w:t>
      </w:r>
      <w:r w:rsidR="00A177BB">
        <w:t>articles</w:t>
      </w:r>
      <w:r w:rsidR="005E2042">
        <w:t xml:space="preserve"> </w:t>
      </w:r>
      <w:r>
        <w:t xml:space="preserve">and a thesis </w:t>
      </w:r>
      <w:r w:rsidR="005E2042">
        <w:t>were published</w:t>
      </w:r>
      <w:r>
        <w:t xml:space="preserve"> including results from </w:t>
      </w:r>
      <w:r w:rsidR="00C753DF">
        <w:t>the analysis performed.</w:t>
      </w:r>
      <w:r w:rsidR="00682F20">
        <w:t xml:space="preserve"> </w:t>
      </w:r>
      <w:r w:rsidR="00C753DF">
        <w:t>A</w:t>
      </w:r>
      <w:r w:rsidR="005E2042">
        <w:t xml:space="preserve"> scientific article </w:t>
      </w:r>
      <w:r w:rsidR="00C753DF">
        <w:t xml:space="preserve">was </w:t>
      </w:r>
      <w:r w:rsidR="005E2042">
        <w:t xml:space="preserve">published by </w:t>
      </w:r>
      <w:r w:rsidR="005E2042">
        <w:fldChar w:fldCharType="begin"/>
      </w:r>
      <w:r w:rsidR="005E2042">
        <w:instrText xml:space="preserve"> ADDIN ZOTERO_ITEM CSL_CITATION {"citationID":"a2d9agohe4c","properties":{"formattedCitation":"\\uldash{(Rajaobelison et al., 2024)}","plainCitation":"(Rajaobelison et al., 2024)","dontUpdate":true,"noteIndex":0},"citationItems":[{"id":2274,"uris":["http://zotero.org/users/11296558/items/GS8ETYVF"],"itemData":{"id":2274,"type":"article-journal","abstract":"Despite the elevated heat flow known in the Western part of the South Slave Region (Northwest Territories, Canada), a continuous and equilibrium geothermal gradient was never measured in boreholes below the communities where geothermal energy could be developed. This paper aims to predict the geothermal gradient and assess the Earth’s natural heat flow below the communities of Fort Providence, Kakisa, Hay River, and Enterprise. Temperatures from drill-stem tests and bottom well logs were corrected for drilling disturbance and paleoclimate. The thermal conductivity and heat generation rate of the geological formations were determined from the literature and with new laboratory measurements. Original 1D models were developed to evaluate subsurface temperature through the sedimentary formations based on a thermostratigraphic assessment. The results indicate a geothermal gradient that varies from 44.1 ± 10.6 °C km−1 to 59.1 ± 14.9 °C km−1 and heat flow that varies from 105.5 mW m−2 to 160.2 mW m−2 below the communities. These estimates were in agreement with the equilibrium geothermal gradients measured in Cameron Hills, south of the four communities, and were used to verify our predictions. The highest geothermal gradient (59.1 ± 14.9 °C km−1) was estimated at Hay River, which, therefore, has the most favorable geological conditions for geothermal development.","container-title":"Energies","DOI":"10.3390/en17164165","ISSN":"1996-1073","issue":"16","language":"en","license":"http://creativecommons.org/licenses/by/3.0/","note":"number: 16\npublisher: Multidisciplinary Digital Publishing Institute","page":"4165","source":"www.mdpi.com","title":"Thermostratigraphic and Heat Flow Assessment of the South Slave Region in the Northwest Territories, Canada","volume":"17","author":[{"family":"Rajaobelison","given":"Mirah"},{"family":"Thibault","given":"Michaël"},{"family":"Comeau","given":"Félix-Antoine"},{"family":"Raymond","given":"Jasmin"},{"family":"Smejkal","given":"Emily J."},{"family":"Terlaky","given":"Viktor"}],"issued":{"date-parts":[["2024",1]]}}}],"schema":"https://github.com/citation-style-language/schema/raw/master/csl-citation.json"} </w:instrText>
      </w:r>
      <w:r w:rsidR="005E2042">
        <w:fldChar w:fldCharType="separate"/>
      </w:r>
      <w:r w:rsidR="005E2042" w:rsidRPr="00503FAB">
        <w:rPr>
          <w:u w:val="dash"/>
        </w:rPr>
        <w:t xml:space="preserve">Rajaobelison et al. </w:t>
      </w:r>
      <w:r w:rsidR="005E2042">
        <w:rPr>
          <w:u w:val="dash"/>
        </w:rPr>
        <w:t>(</w:t>
      </w:r>
      <w:r w:rsidR="005E2042" w:rsidRPr="00503FAB">
        <w:rPr>
          <w:u w:val="dash"/>
        </w:rPr>
        <w:t>2024)</w:t>
      </w:r>
      <w:r w:rsidR="005E2042">
        <w:fldChar w:fldCharType="end"/>
      </w:r>
      <w:r w:rsidR="005E2042">
        <w:t xml:space="preserve"> in August</w:t>
      </w:r>
      <w:r>
        <w:t xml:space="preserve"> 2024</w:t>
      </w:r>
      <w:r w:rsidR="003A229A">
        <w:t xml:space="preserve"> and</w:t>
      </w:r>
      <w:r w:rsidR="005E2042">
        <w:t xml:space="preserve"> a conference paper </w:t>
      </w:r>
      <w:r w:rsidR="00E1634C">
        <w:t xml:space="preserve">was </w:t>
      </w:r>
      <w:r w:rsidR="00A177BB">
        <w:t>published</w:t>
      </w:r>
      <w:r w:rsidR="00E1634C">
        <w:t xml:space="preserve"> </w:t>
      </w:r>
      <w:r w:rsidR="005E2042">
        <w:t xml:space="preserve">by </w:t>
      </w:r>
      <w:r w:rsidR="005E2042">
        <w:fldChar w:fldCharType="begin"/>
      </w:r>
      <w:r w:rsidR="005E2042">
        <w:instrText xml:space="preserve"> ADDIN ZOTERO_ITEM CSL_CITATION {"citationID":"a162onke1su","properties":{"formattedCitation":"\\uldash{(Thibault et al., 2024)}","plainCitation":"(Thibault et al., 2024)","dontUpdate":true,"noteIndex":0},"citationItems":[{"id":2287,"uris":["http://zotero.org/users/11296558/items/7Z2GEFEU"],"itemData":{"id":2287,"type":"paper-conference","container-title":"GRC Transactions","event-place":"Waikoloa, HI, USA","event-title":"Geothermal Rising Conference","language":"English","page":"28","publisher-place":"Waikoloa, HI, USA","title":"Evaluation of the Precambrian Basement Temperature Below Four South Slave Communities, Northwest Territories, Canada","volume":"48","author":[{"family":"Thibault","given":"Michaël"},{"family":"Comeau","given":"Felix-Antoine"},{"family":"Raymond","given":"Jasmin"},{"family":"Rajaobelison","given":"Mirah"},{"family":"Terlaky","given":"Viktor"},{"family":"Newson","given":"Juliet"}],"issued":{"date-parts":[["2024"]]}}}],"schema":"https://github.com/citation-style-language/schema/raw/master/csl-citation.json"} </w:instrText>
      </w:r>
      <w:r w:rsidR="005E2042">
        <w:fldChar w:fldCharType="separate"/>
      </w:r>
      <w:r w:rsidR="005E2042" w:rsidRPr="00C85F36">
        <w:rPr>
          <w:u w:val="dash"/>
        </w:rPr>
        <w:t xml:space="preserve">Thibault et al. </w:t>
      </w:r>
      <w:r w:rsidR="005E2042">
        <w:rPr>
          <w:u w:val="dash"/>
        </w:rPr>
        <w:t>(</w:t>
      </w:r>
      <w:r w:rsidR="005E2042" w:rsidRPr="00C85F36">
        <w:rPr>
          <w:u w:val="dash"/>
        </w:rPr>
        <w:t>2024)</w:t>
      </w:r>
      <w:r w:rsidR="005E2042">
        <w:fldChar w:fldCharType="end"/>
      </w:r>
      <w:r w:rsidR="005E2042">
        <w:t xml:space="preserve"> in October</w:t>
      </w:r>
      <w:r>
        <w:t xml:space="preserve"> 2024</w:t>
      </w:r>
      <w:r w:rsidR="00A177BB">
        <w:t>.</w:t>
      </w:r>
      <w:r>
        <w:t xml:space="preserve"> </w:t>
      </w:r>
      <w:r w:rsidR="003A229A">
        <w:t>An additional</w:t>
      </w:r>
      <w:r>
        <w:t xml:space="preserve"> MSc thesis by </w:t>
      </w:r>
      <w:r>
        <w:fldChar w:fldCharType="begin"/>
      </w:r>
      <w:r>
        <w:instrText xml:space="preserve"> ADDIN ZOTERO_ITEM CSL_CITATION {"citationID":"wGWNWeNk","properties":{"formattedCitation":"(Thibault, 2025)","plainCitation":"(Thibault, 2025)","dontUpdate":true,"noteIndex":0},"citationItems":[{"id":4388,"uris":["http://zotero.org/users/11296558/items/6B52RGV4"],"itemData":{"id":4388,"type":"thesis","abstract":"The Northwest Territories, Canada, has some of the highest energy costs in the country, which is more than twice the national average. Heating demands account for a significant portion of total energy consumption, with these needs primarily met through imported diesel combustion, leading to high costs and environmental concerns.In the Southern Northwest Territories, within the South Slave region, the communities of Hay River, Fort Providence, Enterprise, and Kakisa are located along the eastern edge of the Western Canada Sedimentary Basin, within one of Canada’s largest high heat flow anomalies. While previous studies have suggested high geothermal potential based on regional assessments, no studies have been carried out at a community-specific scale, leaving the actual localized potential largely unexplored.This study fills this knowledge gap by providing a comprehensive geothermal assessment for these communities, grounded in specific geological units and rock types found beneath the region. Using laboratory-measured thermal properties from Precambrian basement rocks, this research provides updated temperature estimates to 10 km depth, improving upon previous models that did not account for localized eological variations.At the top of the Precambrian basement (500 to 750 m depth), temperatures range from 30 to 36 °C, with temperatures reaching 100–156 °C at 3 km depth and 303– 511 °C at 10 km depth. The findings show that geothermal gradients vary significantly across the communities, with Hay River exhibiting the highest geothermal potential.These temperature estimates are essential for evaluating the feasibility of geothermal systems, for space heating and potential power generation, especially heat conduction driven closed-loop systems. This research emphasizes the importance of localized geothermal assessments in remote northern regions, providing a foundation for future exploration and energy planning that could reduce diesel reliance and support sustainable energy solutions, contributing to energy independence and climate change mitigation.","event-place":"Reykjavik, Iceland","genre":"Thesis","language":"en","note":"Accepted: 2025-06-18T09:35:22Z","number-of-pages":"118","publisher":"Reykjavik University, Iceland School of Energy","publisher-place":"Reykjavik, Iceland","source":"skemman.is","title":"Evaluation of the deep geothermal potential below four South Slave communities, Northwest Territories, Canada","URL":"https://skemman.is/handle/1946/50759","author":[{"family":"Thibault","given":"Michaël"}],"accessed":{"date-parts":[["2025",6,23]]},"issued":{"date-parts":[["2025",6]]}}}],"schema":"https://github.com/citation-style-language/schema/raw/master/csl-citation.json"} </w:instrText>
      </w:r>
      <w:r>
        <w:fldChar w:fldCharType="separate"/>
      </w:r>
      <w:r>
        <w:rPr>
          <w:noProof/>
        </w:rPr>
        <w:t>Thibault (2025)</w:t>
      </w:r>
      <w:r>
        <w:fldChar w:fldCharType="end"/>
      </w:r>
      <w:r w:rsidR="003A229A">
        <w:t xml:space="preserve"> was published in</w:t>
      </w:r>
      <w:r w:rsidR="00D47E85">
        <w:t xml:space="preserve"> June 2025.</w:t>
      </w:r>
      <w:r>
        <w:t xml:space="preserve"> These</w:t>
      </w:r>
      <w:r w:rsidR="005E2042">
        <w:t xml:space="preserve"> are included in the </w:t>
      </w:r>
      <w:r w:rsidR="004944DB">
        <w:fldChar w:fldCharType="begin"/>
      </w:r>
      <w:r w:rsidR="004944DB">
        <w:instrText xml:space="preserve"> REF _Ref212816677 \h </w:instrText>
      </w:r>
      <w:r w:rsidR="004944DB">
        <w:fldChar w:fldCharType="separate"/>
      </w:r>
      <w:r w:rsidR="002948B9" w:rsidRPr="006B0616">
        <w:rPr>
          <w:lang w:val="en-CA"/>
        </w:rPr>
        <w:t>Appendix</w:t>
      </w:r>
      <w:r w:rsidR="004944DB">
        <w:fldChar w:fldCharType="end"/>
      </w:r>
      <w:r w:rsidR="00682F20">
        <w:t xml:space="preserve"> (1-3)</w:t>
      </w:r>
      <w:r w:rsidR="005E2042">
        <w:t xml:space="preserve">. The first paper focuses on </w:t>
      </w:r>
      <w:r w:rsidR="00FE6637">
        <w:t xml:space="preserve">a </w:t>
      </w:r>
      <w:r w:rsidR="005E2042">
        <w:t xml:space="preserve">thermostratigraphic and heat flow assessment of the four South Slave communities, </w:t>
      </w:r>
      <w:r w:rsidR="008A5C0B">
        <w:t xml:space="preserve">describing the development of </w:t>
      </w:r>
      <w:r w:rsidR="005E2042" w:rsidRPr="00C65ED0">
        <w:t xml:space="preserve">1D temperature models based on vintage oil and gas wells </w:t>
      </w:r>
      <w:r w:rsidR="005E2042">
        <w:t xml:space="preserve">data to </w:t>
      </w:r>
      <w:r w:rsidR="005E2042" w:rsidRPr="00C65ED0">
        <w:t xml:space="preserve">evaluate </w:t>
      </w:r>
      <w:r w:rsidR="005E2042">
        <w:t>subsurface temperature</w:t>
      </w:r>
      <w:r w:rsidR="005E2042" w:rsidRPr="00C65ED0">
        <w:t xml:space="preserve"> </w:t>
      </w:r>
      <w:r w:rsidR="005E2042">
        <w:t>within</w:t>
      </w:r>
      <w:r w:rsidR="005E2042" w:rsidRPr="00C65ED0">
        <w:t xml:space="preserve"> the sedimentary sequence </w:t>
      </w:r>
      <w:r w:rsidR="0088368C">
        <w:t xml:space="preserve">below </w:t>
      </w:r>
      <w:r w:rsidR="005E2042">
        <w:t>these</w:t>
      </w:r>
      <w:r w:rsidR="005E2042" w:rsidRPr="00C65ED0">
        <w:t xml:space="preserve"> communities</w:t>
      </w:r>
      <w:r w:rsidR="005E2042">
        <w:t xml:space="preserve"> </w:t>
      </w:r>
      <w:r w:rsidR="005E2042">
        <w:fldChar w:fldCharType="begin"/>
      </w:r>
      <w:r w:rsidR="005E2042">
        <w:instrText xml:space="preserve"> ADDIN ZOTERO_ITEM CSL_CITATION {"citationID":"a1veoj6t3sp","properties":{"formattedCitation":"(Rajaobelison et al., 2024)","plainCitation":"(Rajaobelison et al., 2024)","noteIndex":0},"citationItems":[{"id":2274,"uris":["http://zotero.org/users/11296558/items/GS8ETYVF"],"itemData":{"id":2274,"type":"article-journal","abstract":"Despite the elevated heat flow known in the Western part of the South Slave Region (Northwest Territories, Canada), a continuous and equilibrium geothermal gradient was never measured in boreholes below the communities where geothermal energy could be developed. This paper aims to predict the geothermal gradient and assess the Earth’s natural heat flow below the communities of Fort Providence, Kakisa, Hay River, and Enterprise. Temperatures from drill-stem tests and bottom well logs were corrected for drilling disturbance and paleoclimate. The thermal conductivity and heat generation rate of the geological formations were determined from the literature and with new laboratory measurements. Original 1D models were developed to evaluate subsurface temperature through the sedimentary formations based on a thermostratigraphic assessment. The results indicate a geothermal gradient that varies from 44.1 ± 10.6 °C km−1 to 59.1 ± 14.9 °C km−1 and heat flow that varies from 105.5 mW m−2 to 160.2 mW m−2 below the communities. These estimates were in agreement with the equilibrium geothermal gradients measured in Cameron Hills, south of the four communities, and were used to verify our predictions. The highest geothermal gradient (59.1 ± 14.9 °C km−1) was estimated at Hay River, which, therefore, has the most favorable geological conditions for geothermal development.","container-title":"Energies","DOI":"10.3390/en17164165","ISSN":"1996-1073","issue":"16","language":"en","license":"http://creativecommons.org/licenses/by/3.0/","note":"number: 16\npublisher: Multidisciplinary Digital Publishing Institute","page":"4165","source":"www.mdpi.com","title":"Thermostratigraphic and Heat Flow Assessment of the South Slave Region in the Northwest Territories, Canada","volume":"17","author":[{"family":"Rajaobelison","given":"Mirah"},{"family":"Thibault","given":"Michaël"},{"family":"Comeau","given":"Félix-Antoine"},{"family":"Raymond","given":"Jasmin"},{"family":"Smejkal","given":"Emily J."},{"family":"Terlaky","given":"Viktor"}],"issued":{"date-parts":[["2024",1]]}}}],"schema":"https://github.com/citation-style-language/schema/raw/master/csl-citation.json"} </w:instrText>
      </w:r>
      <w:r w:rsidR="005E2042">
        <w:fldChar w:fldCharType="separate"/>
      </w:r>
      <w:r w:rsidR="005E2042" w:rsidRPr="00D0497A">
        <w:t>(Rajaobelison et al., 2024)</w:t>
      </w:r>
      <w:r w:rsidR="005E2042">
        <w:fldChar w:fldCharType="end"/>
      </w:r>
      <w:r w:rsidR="005E2042" w:rsidRPr="00C65ED0">
        <w:t>.</w:t>
      </w:r>
      <w:r w:rsidR="005E2042">
        <w:t xml:space="preserve"> The second paper, presented at a </w:t>
      </w:r>
      <w:r w:rsidR="0005218F">
        <w:t>Geothermal Rising C</w:t>
      </w:r>
      <w:r w:rsidR="005E2042">
        <w:t xml:space="preserve">onference, assesses the temperature distribution in the </w:t>
      </w:r>
      <w:r w:rsidR="005E2042" w:rsidRPr="0048573B">
        <w:t>Precambrian basemen</w:t>
      </w:r>
      <w:r w:rsidR="005E2042">
        <w:t>t, underlying</w:t>
      </w:r>
      <w:r w:rsidR="005E2042" w:rsidRPr="0048573B">
        <w:t xml:space="preserve"> the sedimentary basin</w:t>
      </w:r>
      <w:r w:rsidR="005E2042">
        <w:t xml:space="preserve"> </w:t>
      </w:r>
      <w:r w:rsidR="0005218F">
        <w:t xml:space="preserve">and </w:t>
      </w:r>
      <w:r w:rsidR="005E2042">
        <w:t xml:space="preserve">providing insights into deep geothermal conditions below the communities </w:t>
      </w:r>
      <w:r w:rsidR="005E2042">
        <w:fldChar w:fldCharType="begin"/>
      </w:r>
      <w:r w:rsidR="005E2042">
        <w:instrText xml:space="preserve"> ADDIN ZOTERO_ITEM CSL_CITATION {"citationID":"al6cv4hncq","properties":{"formattedCitation":"(Thibault et al., 2024)","plainCitation":"(Thibault et al., 2024)","noteIndex":0},"citationItems":[{"id":2287,"uris":["http://zotero.org/users/11296558/items/7Z2GEFEU"],"itemData":{"id":2287,"type":"paper-conference","container-title":"GRC Transactions","event-place":"Waikoloa, HI, USA","event-title":"Geothermal Rising Conference","language":"English","page":"28","publisher-place":"Waikoloa, HI, USA","title":"Evaluation of the Precambrian Basement Temperature Below Four South Slave Communities, Northwest Territories, Canada","volume":"48","author":[{"family":"Thibault","given":"Michaël"},{"family":"Comeau","given":"Felix-Antoine"},{"family":"Raymond","given":"Jasmin"},{"family":"Rajaobelison","given":"Mirah"},{"family":"Terlaky","given":"Viktor"},{"family":"Newson","given":"Juliet"}],"issued":{"date-parts":[["2024"]]}}}],"schema":"https://github.com/citation-style-language/schema/raw/master/csl-citation.json"} </w:instrText>
      </w:r>
      <w:r w:rsidR="005E2042">
        <w:fldChar w:fldCharType="separate"/>
      </w:r>
      <w:r w:rsidR="005E2042">
        <w:t>(Thibault et al., 2024)</w:t>
      </w:r>
      <w:r w:rsidR="005E2042">
        <w:fldChar w:fldCharType="end"/>
      </w:r>
      <w:r w:rsidR="005E2042" w:rsidRPr="00045877">
        <w:t>.</w:t>
      </w:r>
      <w:r>
        <w:t xml:space="preserve"> </w:t>
      </w:r>
      <w:r w:rsidR="0072137D" w:rsidRPr="0072137D">
        <w:t>The thesis covers these aspects in greater detail, providing more comprehensive interpretations of the results.</w:t>
      </w:r>
    </w:p>
    <w:p w14:paraId="7AB36D66" w14:textId="31586A5E" w:rsidR="00682F20" w:rsidRDefault="004944DB" w:rsidP="00B972F5">
      <w:r>
        <w:fldChar w:fldCharType="begin"/>
      </w:r>
      <w:r>
        <w:instrText xml:space="preserve"> REF _Ref212816677 \h </w:instrText>
      </w:r>
      <w:r>
        <w:fldChar w:fldCharType="separate"/>
      </w:r>
      <w:r w:rsidR="002948B9" w:rsidRPr="006B0616">
        <w:rPr>
          <w:lang w:val="en-CA"/>
        </w:rPr>
        <w:t>Appendix</w:t>
      </w:r>
      <w:r>
        <w:fldChar w:fldCharType="end"/>
      </w:r>
      <w:r w:rsidR="00682F20">
        <w:t xml:space="preserve"> 4 present </w:t>
      </w:r>
      <w:r>
        <w:t xml:space="preserve">raw data </w:t>
      </w:r>
      <w:r w:rsidR="00AC76AD">
        <w:t xml:space="preserve">associated to </w:t>
      </w:r>
      <w:r>
        <w:t xml:space="preserve">the </w:t>
      </w:r>
      <w:r w:rsidR="00682F20">
        <w:t xml:space="preserve">thermal properties </w:t>
      </w:r>
      <w:r w:rsidR="00065BF9">
        <w:t>analy</w:t>
      </w:r>
      <w:r w:rsidR="00AC76AD">
        <w:t>sis</w:t>
      </w:r>
      <w:r w:rsidR="00682F20">
        <w:t xml:space="preserve"> from each </w:t>
      </w:r>
      <w:r w:rsidR="0013731B">
        <w:t>sample</w:t>
      </w:r>
      <w:r w:rsidR="00682F20">
        <w:t xml:space="preserve">. </w:t>
      </w:r>
    </w:p>
    <w:p w14:paraId="6C0B37FB" w14:textId="26FF700B" w:rsidR="003539FF" w:rsidRPr="00B972F5" w:rsidRDefault="003539FF" w:rsidP="003539FF">
      <w:r>
        <w:t xml:space="preserve">Ongoing work includes numerical simulations of closed-loop geothermal systems, which </w:t>
      </w:r>
      <w:r w:rsidR="00AC76AD">
        <w:t>requires as input</w:t>
      </w:r>
      <w:r>
        <w:t xml:space="preserve"> subsurface </w:t>
      </w:r>
      <w:r w:rsidR="00AC76AD">
        <w:t xml:space="preserve">thermal </w:t>
      </w:r>
      <w:r>
        <w:t xml:space="preserve">properties. Future work will focus on developing an open-access </w:t>
      </w:r>
      <w:r>
        <w:lastRenderedPageBreak/>
        <w:t>geothermal database that will include detailed information on the thermal properties of rock samples.</w:t>
      </w:r>
    </w:p>
    <w:p w14:paraId="4EF01739" w14:textId="17D9260D" w:rsidR="00EB49AB" w:rsidRPr="00682F20" w:rsidRDefault="003A1FF1" w:rsidP="00681BEC">
      <w:pPr>
        <w:pStyle w:val="Heading2"/>
        <w:rPr>
          <w:lang w:val="fr-CA"/>
        </w:rPr>
      </w:pPr>
      <w:r w:rsidRPr="00682F20">
        <w:rPr>
          <w:lang w:val="fr-CA"/>
        </w:rPr>
        <w:t>Acknowledgement</w:t>
      </w:r>
    </w:p>
    <w:p w14:paraId="40CAD8F0" w14:textId="014D94A6" w:rsidR="00B972F5" w:rsidRPr="00A55084" w:rsidRDefault="00EB49AB">
      <w:pPr>
        <w:rPr>
          <w:lang w:val="en-CA"/>
        </w:rPr>
      </w:pPr>
      <w:r w:rsidRPr="00A55084">
        <w:rPr>
          <w:lang w:val="en-CA"/>
        </w:rPr>
        <w:t xml:space="preserve">We would like to thank OROGO and CGC CRC for providing access to the cores and assistance with sampling. Taís Fontes Pinto </w:t>
      </w:r>
      <w:r w:rsidR="000F7ED7">
        <w:rPr>
          <w:lang w:val="en-CA"/>
        </w:rPr>
        <w:t>helped for</w:t>
      </w:r>
      <w:r w:rsidRPr="00A55084">
        <w:rPr>
          <w:lang w:val="en-CA"/>
        </w:rPr>
        <w:t xml:space="preserve"> sampling the cores in December 2023. The Northern Scientific Training Program (NSTP) and NTGS provided funding for this project.</w:t>
      </w:r>
    </w:p>
    <w:p w14:paraId="73C7AD1F" w14:textId="43E3B3CC" w:rsidR="00EE66F2" w:rsidRPr="00A55084" w:rsidRDefault="00B972F5" w:rsidP="00B972F5">
      <w:pPr>
        <w:spacing w:line="278" w:lineRule="auto"/>
        <w:jc w:val="left"/>
        <w:rPr>
          <w:lang w:val="en-CA"/>
        </w:rPr>
      </w:pPr>
      <w:r w:rsidRPr="00A55084">
        <w:rPr>
          <w:lang w:val="en-CA"/>
        </w:rPr>
        <w:br w:type="page"/>
      </w:r>
    </w:p>
    <w:p w14:paraId="5D8256E8" w14:textId="67363EBC" w:rsidR="002C06A4" w:rsidRPr="00682F20" w:rsidRDefault="002C06A4" w:rsidP="00681BEC">
      <w:pPr>
        <w:pStyle w:val="Heading2"/>
        <w:rPr>
          <w:lang w:val="fr-CA"/>
        </w:rPr>
      </w:pPr>
      <w:r w:rsidRPr="00682F20">
        <w:rPr>
          <w:lang w:val="fr-CA"/>
        </w:rPr>
        <w:lastRenderedPageBreak/>
        <w:t>Reference</w:t>
      </w:r>
    </w:p>
    <w:p w14:paraId="16722003" w14:textId="77777777" w:rsidR="0013731B" w:rsidRPr="0013731B" w:rsidRDefault="002C06A4" w:rsidP="0013731B">
      <w:pPr>
        <w:pStyle w:val="Bibliography"/>
        <w:rPr>
          <w:rFonts w:ascii="Aptos" w:hAnsiTheme="minorHAnsi"/>
        </w:rPr>
      </w:pPr>
      <w:r>
        <w:rPr>
          <w:lang w:val="fr-CA"/>
        </w:rPr>
        <w:fldChar w:fldCharType="begin"/>
      </w:r>
      <w:r w:rsidR="0013731B" w:rsidRPr="0013731B">
        <w:rPr>
          <w:lang w:val="en-CA"/>
        </w:rPr>
        <w:instrText xml:space="preserve"> ADDIN ZOTERO_BIBL {"uncited":[],"omitted":[],"custom":[]} CSL_BIBLIOGRAPHY </w:instrText>
      </w:r>
      <w:r>
        <w:rPr>
          <w:lang w:val="fr-CA"/>
        </w:rPr>
        <w:fldChar w:fldCharType="separate"/>
      </w:r>
      <w:r w:rsidR="0013731B" w:rsidRPr="0013731B">
        <w:rPr>
          <w:rFonts w:ascii="Aptos" w:hAnsiTheme="minorHAnsi"/>
        </w:rPr>
        <w:t xml:space="preserve">Popov, Y., Lippmann, E., &amp; Rauen, A. (2023). </w:t>
      </w:r>
      <w:r w:rsidR="0013731B" w:rsidRPr="0013731B">
        <w:rPr>
          <w:rFonts w:ascii="Aptos" w:hAnsiTheme="minorHAnsi"/>
          <w:i/>
          <w:iCs/>
        </w:rPr>
        <w:t>TCS-Manual. Thermal conductivity (TC) and thermal diffusivity (TD) Scanner. Version 15.11.2023.</w:t>
      </w:r>
      <w:r w:rsidR="0013731B" w:rsidRPr="0013731B">
        <w:rPr>
          <w:rFonts w:ascii="Aptos" w:hAnsiTheme="minorHAnsi"/>
        </w:rPr>
        <w:t xml:space="preserve"> https://www.schwartech.de/index_en.html#/tcs_en</w:t>
      </w:r>
    </w:p>
    <w:p w14:paraId="3342D3FB" w14:textId="77777777" w:rsidR="0013731B" w:rsidRPr="0013731B" w:rsidRDefault="0013731B" w:rsidP="0013731B">
      <w:pPr>
        <w:pStyle w:val="Bibliography"/>
        <w:rPr>
          <w:rFonts w:ascii="Aptos" w:hAnsiTheme="minorHAnsi"/>
        </w:rPr>
      </w:pPr>
      <w:r w:rsidRPr="0013731B">
        <w:rPr>
          <w:rFonts w:ascii="Aptos" w:hAnsiTheme="minorHAnsi"/>
        </w:rPr>
        <w:t xml:space="preserve">Rajaobelison, M., Thibault, M., Comeau, F.-A., Raymond, J., Smejkal, E. J., &amp; Terlaky, V. (2024). Thermostratigraphic and Heat Flow Assessment of the South Slave Region in the Northwest Territories, Canada. </w:t>
      </w:r>
      <w:r w:rsidRPr="0013731B">
        <w:rPr>
          <w:rFonts w:ascii="Aptos" w:hAnsiTheme="minorHAnsi"/>
          <w:i/>
          <w:iCs/>
        </w:rPr>
        <w:t>Energies</w:t>
      </w:r>
      <w:r w:rsidRPr="0013731B">
        <w:rPr>
          <w:rFonts w:ascii="Aptos" w:hAnsiTheme="minorHAnsi"/>
        </w:rPr>
        <w:t xml:space="preserve">, </w:t>
      </w:r>
      <w:r w:rsidRPr="0013731B">
        <w:rPr>
          <w:rFonts w:ascii="Aptos" w:hAnsiTheme="minorHAnsi"/>
          <w:i/>
          <w:iCs/>
        </w:rPr>
        <w:t>17</w:t>
      </w:r>
      <w:r w:rsidRPr="0013731B">
        <w:rPr>
          <w:rFonts w:ascii="Aptos" w:hAnsiTheme="minorHAnsi"/>
        </w:rPr>
        <w:t>(16), Article 16. https://doi.org/10.3390/en17164165</w:t>
      </w:r>
    </w:p>
    <w:p w14:paraId="25CB0333" w14:textId="77777777" w:rsidR="0013731B" w:rsidRPr="0013731B" w:rsidRDefault="0013731B" w:rsidP="0013731B">
      <w:pPr>
        <w:pStyle w:val="Bibliography"/>
        <w:rPr>
          <w:rFonts w:ascii="Aptos" w:hAnsiTheme="minorHAnsi"/>
          <w:lang w:val="fr-CA"/>
        </w:rPr>
      </w:pPr>
      <w:r w:rsidRPr="0013731B">
        <w:rPr>
          <w:rFonts w:ascii="Aptos" w:hAnsiTheme="minorHAnsi"/>
        </w:rPr>
        <w:t xml:space="preserve">Rajaobelison, M., Thibault, M., Comeau, F.-A., Raymond, J., &amp; Terlaky, V. (In press). </w:t>
      </w:r>
      <w:r w:rsidRPr="0013731B">
        <w:rPr>
          <w:rFonts w:ascii="Aptos" w:hAnsiTheme="minorHAnsi"/>
          <w:i/>
          <w:iCs/>
        </w:rPr>
        <w:t>Laboratory analyses on split core samples from wells to assess the geothermal potential of the South Slave Region, Northwest Territories, Canada</w:t>
      </w:r>
      <w:r w:rsidRPr="0013731B">
        <w:rPr>
          <w:rFonts w:ascii="Aptos" w:hAnsiTheme="minorHAnsi"/>
        </w:rPr>
        <w:t xml:space="preserve"> (Open Report Nos. 2023–015; p. 71). </w:t>
      </w:r>
      <w:r w:rsidRPr="0013731B">
        <w:rPr>
          <w:rFonts w:ascii="Aptos" w:hAnsiTheme="minorHAnsi"/>
          <w:lang w:val="fr-CA"/>
        </w:rPr>
        <w:t>Institut national de la recherche scientifique &amp; Northwest Territories Geological Survey.</w:t>
      </w:r>
    </w:p>
    <w:p w14:paraId="78468C26" w14:textId="77777777" w:rsidR="0013731B" w:rsidRPr="0013731B" w:rsidRDefault="0013731B" w:rsidP="0013731B">
      <w:pPr>
        <w:pStyle w:val="Bibliography"/>
        <w:rPr>
          <w:rFonts w:ascii="Aptos" w:hAnsiTheme="minorHAnsi"/>
        </w:rPr>
      </w:pPr>
      <w:r w:rsidRPr="0013731B">
        <w:rPr>
          <w:rFonts w:ascii="Aptos" w:hAnsiTheme="minorHAnsi"/>
        </w:rPr>
        <w:t xml:space="preserve">Thibault, M. (2025). </w:t>
      </w:r>
      <w:r w:rsidRPr="0013731B">
        <w:rPr>
          <w:rFonts w:ascii="Aptos" w:hAnsiTheme="minorHAnsi"/>
          <w:i/>
          <w:iCs/>
        </w:rPr>
        <w:t>Evaluation of the deep geothermal potential below four South Slave communities, Northwest Territories, Canada</w:t>
      </w:r>
      <w:r w:rsidRPr="0013731B">
        <w:rPr>
          <w:rFonts w:ascii="Aptos" w:hAnsiTheme="minorHAnsi"/>
        </w:rPr>
        <w:t xml:space="preserve"> [Thesis, Reykjavik University, Iceland School of Energy]. https://skemman.is/handle/1946/50759</w:t>
      </w:r>
    </w:p>
    <w:p w14:paraId="457B78BA" w14:textId="4F8CE3E0" w:rsidR="009A1269" w:rsidRDefault="0013731B" w:rsidP="0013731B">
      <w:pPr>
        <w:pStyle w:val="Bibliography"/>
        <w:rPr>
          <w:rFonts w:ascii="Aptos" w:hAnsiTheme="minorHAnsi"/>
        </w:rPr>
      </w:pPr>
      <w:r w:rsidRPr="0013731B">
        <w:rPr>
          <w:rFonts w:ascii="Aptos" w:hAnsiTheme="minorHAnsi"/>
        </w:rPr>
        <w:t xml:space="preserve">Thibault, M., Comeau, F.-A., Raymond, J., Rajaobelison, M., Terlaky, V., &amp; Newson, J. (2024). Evaluation of the Precambrian Basement Temperature Below Four South Slave Communities, Northwest Territories, Canada. </w:t>
      </w:r>
      <w:r w:rsidRPr="0013731B">
        <w:rPr>
          <w:rFonts w:ascii="Aptos" w:hAnsiTheme="minorHAnsi"/>
          <w:i/>
          <w:iCs/>
        </w:rPr>
        <w:t>GRC Transactions</w:t>
      </w:r>
      <w:r w:rsidRPr="0013731B">
        <w:rPr>
          <w:rFonts w:ascii="Aptos" w:hAnsiTheme="minorHAnsi"/>
        </w:rPr>
        <w:t xml:space="preserve">, </w:t>
      </w:r>
      <w:r w:rsidRPr="0013731B">
        <w:rPr>
          <w:rFonts w:ascii="Aptos" w:hAnsiTheme="minorHAnsi"/>
          <w:i/>
          <w:iCs/>
        </w:rPr>
        <w:t>48</w:t>
      </w:r>
      <w:r w:rsidRPr="0013731B">
        <w:rPr>
          <w:rFonts w:ascii="Aptos" w:hAnsiTheme="minorHAnsi"/>
        </w:rPr>
        <w:t>, 28.</w:t>
      </w:r>
    </w:p>
    <w:p w14:paraId="491541DF" w14:textId="2A2D686F" w:rsidR="0013731B" w:rsidRPr="0013731B" w:rsidRDefault="009A1269" w:rsidP="009A1269">
      <w:pPr>
        <w:spacing w:line="278" w:lineRule="auto"/>
        <w:jc w:val="left"/>
        <w:rPr>
          <w:rFonts w:ascii="Aptos" w:hAnsiTheme="minorHAnsi"/>
        </w:rPr>
      </w:pPr>
      <w:r>
        <w:rPr>
          <w:rFonts w:ascii="Aptos" w:hAnsiTheme="minorHAnsi"/>
        </w:rPr>
        <w:br w:type="page"/>
      </w:r>
    </w:p>
    <w:p w14:paraId="43757051" w14:textId="2CD35934" w:rsidR="00681BEC" w:rsidRPr="00682F20" w:rsidRDefault="002C06A4" w:rsidP="009A1269">
      <w:pPr>
        <w:pStyle w:val="Heading2"/>
        <w:rPr>
          <w:lang w:val="fr-CA"/>
        </w:rPr>
      </w:pPr>
      <w:r>
        <w:rPr>
          <w:lang w:val="fr-CA"/>
        </w:rPr>
        <w:lastRenderedPageBreak/>
        <w:fldChar w:fldCharType="end"/>
      </w:r>
      <w:r w:rsidR="00681BEC" w:rsidRPr="00681BEC">
        <w:rPr>
          <w:lang w:val="fr-CA"/>
        </w:rPr>
        <w:t xml:space="preserve"> </w:t>
      </w:r>
      <w:bookmarkStart w:id="2" w:name="_Ref212816677"/>
      <w:r w:rsidR="00681BEC" w:rsidRPr="00682F20">
        <w:rPr>
          <w:lang w:val="fr-CA"/>
        </w:rPr>
        <w:t>Appendix</w:t>
      </w:r>
      <w:bookmarkEnd w:id="2"/>
    </w:p>
    <w:p w14:paraId="0B62AE9E" w14:textId="77777777" w:rsidR="00681BEC" w:rsidRPr="00682F20" w:rsidRDefault="00681BEC" w:rsidP="00681BEC">
      <w:pPr>
        <w:pStyle w:val="ListParagraph"/>
        <w:numPr>
          <w:ilvl w:val="0"/>
          <w:numId w:val="3"/>
        </w:numPr>
        <w:rPr>
          <w:lang w:val="fr-CA"/>
        </w:rPr>
      </w:pPr>
      <w:r w:rsidRPr="00682F20">
        <w:rPr>
          <w:lang w:val="fr-CA"/>
        </w:rPr>
        <w:t>Rajaobelison et al., (2024) paper</w:t>
      </w:r>
    </w:p>
    <w:p w14:paraId="63D1990C" w14:textId="3E755E46" w:rsidR="00681BEC" w:rsidRPr="00682F20" w:rsidRDefault="00681BEC" w:rsidP="00681BEC">
      <w:pPr>
        <w:pStyle w:val="ListParagraph"/>
        <w:numPr>
          <w:ilvl w:val="0"/>
          <w:numId w:val="3"/>
        </w:numPr>
        <w:rPr>
          <w:lang w:val="fr-CA"/>
        </w:rPr>
      </w:pPr>
      <w:r>
        <w:fldChar w:fldCharType="begin"/>
      </w:r>
      <w:r w:rsidR="0013731B">
        <w:instrText xml:space="preserve"> ADDIN ZOTERO_ITEM CSL_CITATION {"citationID":"7yWIeXIM","properties":{"formattedCitation":"\\uldash{(Thibault et al., 2024)}","plainCitation":"(Thibault et al., 2024)","dontUpdate":true,"noteIndex":0},"citationItems":[{"id":2287,"uris":["http://zotero.org/users/11296558/items/7Z2GEFEU"],"itemData":{"id":2287,"type":"paper-conference","container-title":"GRC Transactions","event-place":"Waikoloa, HI, USA","event-title":"Geothermal Rising Conference","language":"English","page":"28","publisher-place":"Waikoloa, HI, USA","title":"Evaluation of the Precambrian Basement Temperature Below Four South Slave Communities, Northwest Territories, Canada","volume":"48","author":[{"family":"Thibault","given":"Michaël"},{"family":"Comeau","given":"Felix-Antoine"},{"family":"Raymond","given":"Jasmin"},{"family":"Rajaobelison","given":"Mirah"},{"family":"Terlaky","given":"Viktor"},{"family":"Newson","given":"Juliet"}],"issued":{"date-parts":[["2024"]]}}}],"schema":"https://github.com/citation-style-language/schema/raw/master/csl-citation.json"} </w:instrText>
      </w:r>
      <w:r>
        <w:fldChar w:fldCharType="separate"/>
      </w:r>
      <w:r w:rsidRPr="00682F20">
        <w:rPr>
          <w:u w:val="dash"/>
        </w:rPr>
        <w:t>Thibault et al. (2024)</w:t>
      </w:r>
      <w:r>
        <w:fldChar w:fldCharType="end"/>
      </w:r>
      <w:r>
        <w:t xml:space="preserve"> paper</w:t>
      </w:r>
    </w:p>
    <w:p w14:paraId="7AE93D4B" w14:textId="34BD8EE7" w:rsidR="00681BEC" w:rsidRPr="00682F20" w:rsidRDefault="00681BEC" w:rsidP="00681BEC">
      <w:pPr>
        <w:pStyle w:val="ListParagraph"/>
        <w:numPr>
          <w:ilvl w:val="0"/>
          <w:numId w:val="3"/>
        </w:numPr>
        <w:rPr>
          <w:lang w:val="fr-CA"/>
        </w:rPr>
      </w:pPr>
      <w:r>
        <w:fldChar w:fldCharType="begin"/>
      </w:r>
      <w:r w:rsidR="0013731B">
        <w:instrText xml:space="preserve"> ADDIN ZOTERO_ITEM CSL_CITATION {"citationID":"xBFsEqM9","properties":{"formattedCitation":"(Thibault, 2025)","plainCitation":"(Thibault, 2025)","dontUpdate":true,"noteIndex":0},"citationItems":[{"id":4388,"uris":["http://zotero.org/users/11296558/items/6B52RGV4"],"itemData":{"id":4388,"type":"thesis","abstract":"The Northwest Territories, Canada, has some of the highest energy costs in the country, which is more than twice the national average. Heating demands account for a significant portion of total energy consumption, with these needs primarily met through imported diesel combustion, leading to high costs and environmental concerns.In the Southern Northwest Territories, within the South Slave region, the communities of Hay River, Fort Providence, Enterprise, and Kakisa are located along the eastern edge of the Western Canada Sedimentary Basin, within one of Canada’s largest high heat flow anomalies. While previous studies have suggested high geothermal potential based on regional assessments, no studies have been carried out at a community-specific scale, leaving the actual localized potential largely unexplored.This study fills this knowledge gap by providing a comprehensive geothermal assessment for these communities, grounded in specific geological units and rock types found beneath the region. Using laboratory-measured thermal properties from Precambrian basement rocks, this research provides updated temperature estimates to 10 km depth, improving upon previous models that did not account for localized eological variations.At the top of the Precambrian basement (500 to 750 m depth), temperatures range from 30 to 36 °C, with temperatures reaching 100–156 °C at 3 km depth and 303– 511 °C at 10 km depth. The findings show that geothermal gradients vary significantly across the communities, with Hay River exhibiting the highest geothermal potential.These temperature estimates are essential for evaluating the feasibility of geothermal systems, for space heating and potential power generation, especially heat conduction driven closed-loop systems. This research emphasizes the importance of localized geothermal assessments in remote northern regions, providing a foundation for future exploration and energy planning that could reduce diesel reliance and support sustainable energy solutions, contributing to energy independence and climate change mitigation.","event-place":"Reykjavik, Iceland","genre":"Thesis","language":"en","note":"Accepted: 2025-06-18T09:35:22Z","number-of-pages":"118","publisher":"Reykjavik University, Iceland School of Energy","publisher-place":"Reykjavik, Iceland","source":"skemman.is","title":"Evaluation of the deep geothermal potential below four South Slave communities, Northwest Territories, Canada","URL":"https://skemman.is/handle/1946/50759","author":[{"family":"Thibault","given":"Michaël"}],"accessed":{"date-parts":[["2025",6,23]]},"issued":{"date-parts":[["2025",6]]}}}],"schema":"https://github.com/citation-style-language/schema/raw/master/csl-citation.json"} </w:instrText>
      </w:r>
      <w:r>
        <w:fldChar w:fldCharType="separate"/>
      </w:r>
      <w:r w:rsidRPr="00682F20">
        <w:rPr>
          <w:noProof/>
          <w:lang w:val="fr-CA"/>
        </w:rPr>
        <w:t>Thibault (2025)</w:t>
      </w:r>
      <w:r>
        <w:fldChar w:fldCharType="end"/>
      </w:r>
      <w:r w:rsidRPr="00682F20">
        <w:rPr>
          <w:lang w:val="fr-CA"/>
        </w:rPr>
        <w:t xml:space="preserve"> thesis</w:t>
      </w:r>
    </w:p>
    <w:p w14:paraId="2C7B49F1" w14:textId="3E5F477E" w:rsidR="00EE66F2" w:rsidRPr="009A1269" w:rsidRDefault="00681BEC" w:rsidP="009A1269">
      <w:pPr>
        <w:pStyle w:val="ListParagraph"/>
        <w:numPr>
          <w:ilvl w:val="0"/>
          <w:numId w:val="3"/>
        </w:numPr>
        <w:rPr>
          <w:lang w:val="en-CA"/>
        </w:rPr>
      </w:pPr>
      <w:r w:rsidRPr="00682F20">
        <w:rPr>
          <w:lang w:val="en-CA"/>
        </w:rPr>
        <w:t>Thermal properties</w:t>
      </w:r>
      <w:r w:rsidR="004D04E2">
        <w:rPr>
          <w:lang w:val="en-CA"/>
        </w:rPr>
        <w:t xml:space="preserve"> raw data</w:t>
      </w:r>
    </w:p>
    <w:sectPr w:rsidR="00EE66F2" w:rsidRPr="009A126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2DE7F" w14:textId="77777777" w:rsidR="00DB0198" w:rsidRDefault="00DB0198" w:rsidP="00943190">
      <w:pPr>
        <w:spacing w:after="0" w:line="240" w:lineRule="auto"/>
      </w:pPr>
      <w:r>
        <w:separator/>
      </w:r>
    </w:p>
  </w:endnote>
  <w:endnote w:type="continuationSeparator" w:id="0">
    <w:p w14:paraId="12B9C76E" w14:textId="77777777" w:rsidR="00DB0198" w:rsidRDefault="00DB0198" w:rsidP="00943190">
      <w:pPr>
        <w:spacing w:after="0" w:line="240" w:lineRule="auto"/>
      </w:pPr>
      <w:r>
        <w:continuationSeparator/>
      </w:r>
    </w:p>
  </w:endnote>
  <w:endnote w:type="continuationNotice" w:id="1">
    <w:p w14:paraId="1CCABFC3" w14:textId="77777777" w:rsidR="00DB0198" w:rsidRDefault="00DB01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1EF53" w14:textId="77777777" w:rsidR="00943190" w:rsidRDefault="009431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F0F30" w14:textId="77777777" w:rsidR="00943190" w:rsidRDefault="009431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6C9BC" w14:textId="77777777" w:rsidR="00943190" w:rsidRDefault="009431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2CF32" w14:textId="77777777" w:rsidR="00DB0198" w:rsidRDefault="00DB0198" w:rsidP="00943190">
      <w:pPr>
        <w:spacing w:after="0" w:line="240" w:lineRule="auto"/>
      </w:pPr>
      <w:r>
        <w:separator/>
      </w:r>
    </w:p>
  </w:footnote>
  <w:footnote w:type="continuationSeparator" w:id="0">
    <w:p w14:paraId="50921077" w14:textId="77777777" w:rsidR="00DB0198" w:rsidRDefault="00DB0198" w:rsidP="00943190">
      <w:pPr>
        <w:spacing w:after="0" w:line="240" w:lineRule="auto"/>
      </w:pPr>
      <w:r>
        <w:continuationSeparator/>
      </w:r>
    </w:p>
  </w:footnote>
  <w:footnote w:type="continuationNotice" w:id="1">
    <w:p w14:paraId="0DDE2DFF" w14:textId="77777777" w:rsidR="00DB0198" w:rsidRDefault="00DB01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1DDC" w14:textId="77777777" w:rsidR="00943190" w:rsidRDefault="009431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B4454" w14:textId="77777777" w:rsidR="00943190" w:rsidRDefault="009431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FD0AC" w14:textId="77777777" w:rsidR="00943190" w:rsidRDefault="009431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243FA"/>
    <w:multiLevelType w:val="multilevel"/>
    <w:tmpl w:val="79A6397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C4D664E"/>
    <w:multiLevelType w:val="hybridMultilevel"/>
    <w:tmpl w:val="2C981C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10C7741"/>
    <w:multiLevelType w:val="hybridMultilevel"/>
    <w:tmpl w:val="B84A9608"/>
    <w:lvl w:ilvl="0" w:tplc="E20214FE">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D1446C"/>
    <w:multiLevelType w:val="hybridMultilevel"/>
    <w:tmpl w:val="4880E45A"/>
    <w:lvl w:ilvl="0" w:tplc="59521008">
      <w:start w:val="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6A4F2D"/>
    <w:multiLevelType w:val="hybridMultilevel"/>
    <w:tmpl w:val="79A6397C"/>
    <w:lvl w:ilvl="0" w:tplc="7598E4E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0F56CA"/>
    <w:multiLevelType w:val="hybridMultilevel"/>
    <w:tmpl w:val="63FC32BC"/>
    <w:lvl w:ilvl="0" w:tplc="59521008">
      <w:start w:val="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7990992">
    <w:abstractNumId w:val="5"/>
  </w:num>
  <w:num w:numId="2" w16cid:durableId="1504738214">
    <w:abstractNumId w:val="3"/>
  </w:num>
  <w:num w:numId="3" w16cid:durableId="484736368">
    <w:abstractNumId w:val="1"/>
  </w:num>
  <w:num w:numId="4" w16cid:durableId="611942104">
    <w:abstractNumId w:val="4"/>
  </w:num>
  <w:num w:numId="5" w16cid:durableId="582685412">
    <w:abstractNumId w:val="0"/>
  </w:num>
  <w:num w:numId="6" w16cid:durableId="17843813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499"/>
    <w:rsid w:val="00005D40"/>
    <w:rsid w:val="00014B04"/>
    <w:rsid w:val="0003286B"/>
    <w:rsid w:val="00036567"/>
    <w:rsid w:val="0005218F"/>
    <w:rsid w:val="00064DBB"/>
    <w:rsid w:val="00065BF9"/>
    <w:rsid w:val="000B10EB"/>
    <w:rsid w:val="000F7ED7"/>
    <w:rsid w:val="0013731B"/>
    <w:rsid w:val="0018039A"/>
    <w:rsid w:val="001825BC"/>
    <w:rsid w:val="001B0111"/>
    <w:rsid w:val="00200356"/>
    <w:rsid w:val="002854E4"/>
    <w:rsid w:val="00286C59"/>
    <w:rsid w:val="002948B9"/>
    <w:rsid w:val="002B5C19"/>
    <w:rsid w:val="002C06A4"/>
    <w:rsid w:val="003054AE"/>
    <w:rsid w:val="003539FF"/>
    <w:rsid w:val="00384330"/>
    <w:rsid w:val="00386355"/>
    <w:rsid w:val="003A1FF1"/>
    <w:rsid w:val="003A229A"/>
    <w:rsid w:val="003F560A"/>
    <w:rsid w:val="0043071A"/>
    <w:rsid w:val="00450D71"/>
    <w:rsid w:val="004944DB"/>
    <w:rsid w:val="004969D1"/>
    <w:rsid w:val="004D04E2"/>
    <w:rsid w:val="004D1755"/>
    <w:rsid w:val="005030C5"/>
    <w:rsid w:val="00524C23"/>
    <w:rsid w:val="0056373A"/>
    <w:rsid w:val="00596EB6"/>
    <w:rsid w:val="005C3EB2"/>
    <w:rsid w:val="005E2042"/>
    <w:rsid w:val="005E6A0D"/>
    <w:rsid w:val="0063574F"/>
    <w:rsid w:val="00681BEC"/>
    <w:rsid w:val="00682F20"/>
    <w:rsid w:val="006A4D2B"/>
    <w:rsid w:val="006A5D54"/>
    <w:rsid w:val="006B0616"/>
    <w:rsid w:val="006C3A0D"/>
    <w:rsid w:val="0072137D"/>
    <w:rsid w:val="00746BFE"/>
    <w:rsid w:val="00781820"/>
    <w:rsid w:val="007D4528"/>
    <w:rsid w:val="007E1E6F"/>
    <w:rsid w:val="007F67C7"/>
    <w:rsid w:val="00802F67"/>
    <w:rsid w:val="00812344"/>
    <w:rsid w:val="00876CD9"/>
    <w:rsid w:val="0088368C"/>
    <w:rsid w:val="008A5C0B"/>
    <w:rsid w:val="00902477"/>
    <w:rsid w:val="00915B1D"/>
    <w:rsid w:val="00917258"/>
    <w:rsid w:val="00932A89"/>
    <w:rsid w:val="00943190"/>
    <w:rsid w:val="00964120"/>
    <w:rsid w:val="00982F7C"/>
    <w:rsid w:val="009A1269"/>
    <w:rsid w:val="009F64FA"/>
    <w:rsid w:val="00A00AA2"/>
    <w:rsid w:val="00A02B62"/>
    <w:rsid w:val="00A05CED"/>
    <w:rsid w:val="00A177BB"/>
    <w:rsid w:val="00A55084"/>
    <w:rsid w:val="00A95003"/>
    <w:rsid w:val="00AC76AD"/>
    <w:rsid w:val="00B972F5"/>
    <w:rsid w:val="00BA0C5D"/>
    <w:rsid w:val="00BA6C86"/>
    <w:rsid w:val="00BB6019"/>
    <w:rsid w:val="00BF6499"/>
    <w:rsid w:val="00C0623C"/>
    <w:rsid w:val="00C14C55"/>
    <w:rsid w:val="00C56BAE"/>
    <w:rsid w:val="00C753DF"/>
    <w:rsid w:val="00C843F4"/>
    <w:rsid w:val="00CC0D25"/>
    <w:rsid w:val="00CC6FAA"/>
    <w:rsid w:val="00CD4B5F"/>
    <w:rsid w:val="00CE6521"/>
    <w:rsid w:val="00CE761B"/>
    <w:rsid w:val="00D4151F"/>
    <w:rsid w:val="00D47E85"/>
    <w:rsid w:val="00D85A4B"/>
    <w:rsid w:val="00D86991"/>
    <w:rsid w:val="00DB0198"/>
    <w:rsid w:val="00DD717C"/>
    <w:rsid w:val="00DE00E4"/>
    <w:rsid w:val="00DE300F"/>
    <w:rsid w:val="00E1634C"/>
    <w:rsid w:val="00E23ADB"/>
    <w:rsid w:val="00E4113B"/>
    <w:rsid w:val="00E5151D"/>
    <w:rsid w:val="00E717CF"/>
    <w:rsid w:val="00EB49AB"/>
    <w:rsid w:val="00EB757C"/>
    <w:rsid w:val="00EC414F"/>
    <w:rsid w:val="00EE66F2"/>
    <w:rsid w:val="00F76BF8"/>
    <w:rsid w:val="00F835A8"/>
    <w:rsid w:val="00FC56B8"/>
    <w:rsid w:val="00FE6637"/>
    <w:rsid w:val="200995A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B498B"/>
  <w15:chartTrackingRefBased/>
  <w15:docId w15:val="{04339C46-3BA4-904C-A3D8-51B1C273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71A"/>
    <w:pPr>
      <w:spacing w:line="360" w:lineRule="auto"/>
      <w:jc w:val="both"/>
    </w:pPr>
    <w:rPr>
      <w:rFonts w:ascii="Times New Roman" w:hAnsi="Times New Roman"/>
      <w:lang w:val="en-US"/>
    </w:rPr>
  </w:style>
  <w:style w:type="paragraph" w:styleId="Heading1">
    <w:name w:val="heading 1"/>
    <w:basedOn w:val="Normal"/>
    <w:next w:val="Normal"/>
    <w:link w:val="Heading1Char"/>
    <w:uiPriority w:val="9"/>
    <w:qFormat/>
    <w:rsid w:val="00681B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F6499"/>
    <w:pPr>
      <w:keepNext/>
      <w:keepLines/>
      <w:numPr>
        <w:numId w:val="6"/>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F64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64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64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64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64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64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64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
    <w:name w:val="Reference"/>
    <w:basedOn w:val="Normal"/>
    <w:qFormat/>
    <w:rsid w:val="00E717CF"/>
    <w:pPr>
      <w:spacing w:after="120" w:line="240" w:lineRule="auto"/>
      <w:ind w:left="360" w:hanging="360"/>
    </w:pPr>
    <w:rPr>
      <w:rFonts w:eastAsia="Times New Roman" w:cs="Times New Roman"/>
      <w:kern w:val="0"/>
      <w14:ligatures w14:val="none"/>
    </w:rPr>
  </w:style>
  <w:style w:type="character" w:customStyle="1" w:styleId="Heading1Char">
    <w:name w:val="Heading 1 Char"/>
    <w:basedOn w:val="DefaultParagraphFont"/>
    <w:link w:val="Heading1"/>
    <w:uiPriority w:val="9"/>
    <w:rsid w:val="00BF6499"/>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rsid w:val="00BF6499"/>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rsid w:val="00BF6499"/>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BF6499"/>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BF6499"/>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BF6499"/>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BF6499"/>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BF6499"/>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BF6499"/>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BF64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649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BF64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6499"/>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BF6499"/>
    <w:pPr>
      <w:spacing w:before="160"/>
      <w:jc w:val="center"/>
    </w:pPr>
    <w:rPr>
      <w:i/>
      <w:iCs/>
      <w:color w:val="404040" w:themeColor="text1" w:themeTint="BF"/>
    </w:rPr>
  </w:style>
  <w:style w:type="character" w:customStyle="1" w:styleId="QuoteChar">
    <w:name w:val="Quote Char"/>
    <w:basedOn w:val="DefaultParagraphFont"/>
    <w:link w:val="Quote"/>
    <w:uiPriority w:val="29"/>
    <w:rsid w:val="00BF6499"/>
    <w:rPr>
      <w:i/>
      <w:iCs/>
      <w:color w:val="404040" w:themeColor="text1" w:themeTint="BF"/>
      <w:lang w:val="en-US"/>
    </w:rPr>
  </w:style>
  <w:style w:type="paragraph" w:styleId="ListParagraph">
    <w:name w:val="List Paragraph"/>
    <w:basedOn w:val="Normal"/>
    <w:uiPriority w:val="34"/>
    <w:qFormat/>
    <w:rsid w:val="00BF6499"/>
    <w:pPr>
      <w:ind w:left="720"/>
      <w:contextualSpacing/>
    </w:pPr>
  </w:style>
  <w:style w:type="character" w:styleId="IntenseEmphasis">
    <w:name w:val="Intense Emphasis"/>
    <w:basedOn w:val="DefaultParagraphFont"/>
    <w:uiPriority w:val="21"/>
    <w:qFormat/>
    <w:rsid w:val="00BF6499"/>
    <w:rPr>
      <w:i/>
      <w:iCs/>
      <w:color w:val="0F4761" w:themeColor="accent1" w:themeShade="BF"/>
    </w:rPr>
  </w:style>
  <w:style w:type="paragraph" w:styleId="IntenseQuote">
    <w:name w:val="Intense Quote"/>
    <w:basedOn w:val="Normal"/>
    <w:next w:val="Normal"/>
    <w:link w:val="IntenseQuoteChar"/>
    <w:uiPriority w:val="30"/>
    <w:qFormat/>
    <w:rsid w:val="00BF64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6499"/>
    <w:rPr>
      <w:i/>
      <w:iCs/>
      <w:color w:val="0F4761" w:themeColor="accent1" w:themeShade="BF"/>
      <w:lang w:val="en-US"/>
    </w:rPr>
  </w:style>
  <w:style w:type="character" w:styleId="IntenseReference">
    <w:name w:val="Intense Reference"/>
    <w:basedOn w:val="DefaultParagraphFont"/>
    <w:uiPriority w:val="32"/>
    <w:qFormat/>
    <w:rsid w:val="00BF6499"/>
    <w:rPr>
      <w:b/>
      <w:bCs/>
      <w:smallCaps/>
      <w:color w:val="0F4761" w:themeColor="accent1" w:themeShade="BF"/>
      <w:spacing w:val="5"/>
    </w:rPr>
  </w:style>
  <w:style w:type="paragraph" w:customStyle="1" w:styleId="p1">
    <w:name w:val="p1"/>
    <w:basedOn w:val="Normal"/>
    <w:rsid w:val="00BF6499"/>
    <w:pPr>
      <w:spacing w:after="0" w:line="240" w:lineRule="auto"/>
    </w:pPr>
    <w:rPr>
      <w:rFonts w:eastAsia="Times New Roman" w:cs="Times New Roman"/>
      <w:color w:val="000000"/>
      <w:kern w:val="0"/>
      <w:sz w:val="27"/>
      <w:szCs w:val="27"/>
      <w:lang w:val="en-CA"/>
      <w14:ligatures w14:val="none"/>
    </w:rPr>
  </w:style>
  <w:style w:type="character" w:customStyle="1" w:styleId="apple-converted-space">
    <w:name w:val="apple-converted-space"/>
    <w:basedOn w:val="DefaultParagraphFont"/>
    <w:rsid w:val="00C843F4"/>
  </w:style>
  <w:style w:type="paragraph" w:styleId="Bibliography">
    <w:name w:val="Bibliography"/>
    <w:basedOn w:val="Normal"/>
    <w:next w:val="Normal"/>
    <w:uiPriority w:val="37"/>
    <w:unhideWhenUsed/>
    <w:rsid w:val="002C06A4"/>
    <w:pPr>
      <w:spacing w:after="0" w:line="480" w:lineRule="auto"/>
      <w:ind w:left="720" w:hanging="720"/>
    </w:pPr>
  </w:style>
  <w:style w:type="paragraph" w:styleId="Caption">
    <w:name w:val="caption"/>
    <w:basedOn w:val="Normal"/>
    <w:next w:val="Normal"/>
    <w:uiPriority w:val="35"/>
    <w:unhideWhenUsed/>
    <w:qFormat/>
    <w:rsid w:val="00681BEC"/>
    <w:pPr>
      <w:spacing w:after="200" w:line="240" w:lineRule="auto"/>
    </w:pPr>
    <w:rPr>
      <w:i/>
      <w:iCs/>
      <w:color w:val="0E2841" w:themeColor="text2"/>
      <w:sz w:val="18"/>
      <w:szCs w:val="18"/>
    </w:rPr>
  </w:style>
  <w:style w:type="character" w:styleId="BookTitle">
    <w:name w:val="Book Title"/>
    <w:basedOn w:val="DefaultParagraphFont"/>
    <w:uiPriority w:val="33"/>
    <w:qFormat/>
    <w:rsid w:val="00681BEC"/>
    <w:rPr>
      <w:b/>
      <w:bCs/>
      <w:i/>
      <w:iCs/>
      <w:spacing w:val="5"/>
    </w:rPr>
  </w:style>
  <w:style w:type="numbering" w:customStyle="1" w:styleId="CurrentList1">
    <w:name w:val="Current List1"/>
    <w:uiPriority w:val="99"/>
    <w:rsid w:val="00681BEC"/>
    <w:pPr>
      <w:numPr>
        <w:numId w:val="5"/>
      </w:numPr>
    </w:pPr>
  </w:style>
  <w:style w:type="paragraph" w:styleId="Header">
    <w:name w:val="header"/>
    <w:basedOn w:val="Normal"/>
    <w:link w:val="HeaderChar"/>
    <w:uiPriority w:val="99"/>
    <w:unhideWhenUsed/>
    <w:rsid w:val="009431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3190"/>
    <w:rPr>
      <w:rFonts w:ascii="Times New Roman" w:hAnsi="Times New Roman"/>
      <w:lang w:val="en-US"/>
    </w:rPr>
  </w:style>
  <w:style w:type="paragraph" w:styleId="Footer">
    <w:name w:val="footer"/>
    <w:basedOn w:val="Normal"/>
    <w:link w:val="FooterChar"/>
    <w:uiPriority w:val="99"/>
    <w:unhideWhenUsed/>
    <w:rsid w:val="009431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3190"/>
    <w:rPr>
      <w:rFonts w:ascii="Times New Roman" w:hAnsi="Times New Roman"/>
      <w:lang w:val="en-US"/>
    </w:rPr>
  </w:style>
  <w:style w:type="paragraph" w:styleId="Revision">
    <w:name w:val="Revision"/>
    <w:hidden/>
    <w:uiPriority w:val="99"/>
    <w:semiHidden/>
    <w:rsid w:val="00943190"/>
    <w:pPr>
      <w:spacing w:after="0" w:line="240" w:lineRule="auto"/>
    </w:pPr>
    <w:rPr>
      <w:rFonts w:ascii="Times New Roman" w:hAnsi="Times New Roman"/>
      <w:lang w:val="en-US"/>
    </w:rPr>
  </w:style>
  <w:style w:type="character" w:styleId="CommentReference">
    <w:name w:val="annotation reference"/>
    <w:basedOn w:val="DefaultParagraphFont"/>
    <w:uiPriority w:val="99"/>
    <w:semiHidden/>
    <w:unhideWhenUsed/>
    <w:rsid w:val="00943190"/>
    <w:rPr>
      <w:sz w:val="16"/>
      <w:szCs w:val="16"/>
    </w:rPr>
  </w:style>
  <w:style w:type="paragraph" w:styleId="CommentText">
    <w:name w:val="annotation text"/>
    <w:basedOn w:val="Normal"/>
    <w:link w:val="CommentTextChar"/>
    <w:uiPriority w:val="99"/>
    <w:unhideWhenUsed/>
    <w:rsid w:val="00943190"/>
    <w:pPr>
      <w:spacing w:line="240" w:lineRule="auto"/>
    </w:pPr>
    <w:rPr>
      <w:sz w:val="20"/>
      <w:szCs w:val="20"/>
    </w:rPr>
  </w:style>
  <w:style w:type="character" w:customStyle="1" w:styleId="CommentTextChar">
    <w:name w:val="Comment Text Char"/>
    <w:basedOn w:val="DefaultParagraphFont"/>
    <w:link w:val="CommentText"/>
    <w:uiPriority w:val="99"/>
    <w:rsid w:val="00943190"/>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943190"/>
    <w:rPr>
      <w:b/>
      <w:bCs/>
    </w:rPr>
  </w:style>
  <w:style w:type="character" w:customStyle="1" w:styleId="CommentSubjectChar">
    <w:name w:val="Comment Subject Char"/>
    <w:basedOn w:val="CommentTextChar"/>
    <w:link w:val="CommentSubject"/>
    <w:uiPriority w:val="99"/>
    <w:semiHidden/>
    <w:rsid w:val="00943190"/>
    <w:rPr>
      <w:rFonts w:ascii="Times New Roman" w:hAnsi="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F9FC54BDDEE40858582B4768CEE29" ma:contentTypeVersion="15" ma:contentTypeDescription="Create a new document." ma:contentTypeScope="" ma:versionID="c259c3dadb0b26dfaa3e375960fc8530">
  <xsd:schema xmlns:xsd="http://www.w3.org/2001/XMLSchema" xmlns:xs="http://www.w3.org/2001/XMLSchema" xmlns:p="http://schemas.microsoft.com/office/2006/metadata/properties" xmlns:ns2="efe354fd-0e6d-4f7d-a250-cb06e9c80e6b" xmlns:ns3="8e8492c1-e43b-4f96-984d-3193346b2868" targetNamespace="http://schemas.microsoft.com/office/2006/metadata/properties" ma:root="true" ma:fieldsID="41862ff79a11e2dd7bed6d5042c039d5" ns2:_="" ns3:_="">
    <xsd:import namespace="efe354fd-0e6d-4f7d-a250-cb06e9c80e6b"/>
    <xsd:import namespace="8e8492c1-e43b-4f96-984d-3193346b28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354fd-0e6d-4f7d-a250-cb06e9c80e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771bcca-0858-42f3-9c3f-9bba573efcb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e8492c1-e43b-4f96-984d-3193346b286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1c99d90-4c85-44ec-955d-b2dec2bed7b4}" ma:internalName="TaxCatchAll" ma:showField="CatchAllData" ma:web="8e8492c1-e43b-4f96-984d-3193346b28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e354fd-0e6d-4f7d-a250-cb06e9c80e6b">
      <Terms xmlns="http://schemas.microsoft.com/office/infopath/2007/PartnerControls"/>
    </lcf76f155ced4ddcb4097134ff3c332f>
    <TaxCatchAll xmlns="8e8492c1-e43b-4f96-984d-3193346b2868" xsi:nil="true"/>
  </documentManagement>
</p:properties>
</file>

<file path=customXml/itemProps1.xml><?xml version="1.0" encoding="utf-8"?>
<ds:datastoreItem xmlns:ds="http://schemas.openxmlformats.org/officeDocument/2006/customXml" ds:itemID="{63782B54-2C44-8948-A5D8-4FCB4BA45CC7}">
  <ds:schemaRefs>
    <ds:schemaRef ds:uri="http://schemas.openxmlformats.org/officeDocument/2006/bibliography"/>
  </ds:schemaRefs>
</ds:datastoreItem>
</file>

<file path=customXml/itemProps2.xml><?xml version="1.0" encoding="utf-8"?>
<ds:datastoreItem xmlns:ds="http://schemas.openxmlformats.org/officeDocument/2006/customXml" ds:itemID="{AD7559CE-549B-4029-A3D0-B7CF45C1EBF8}">
  <ds:schemaRefs>
    <ds:schemaRef ds:uri="http://schemas.microsoft.com/sharepoint/v3/contenttype/forms"/>
  </ds:schemaRefs>
</ds:datastoreItem>
</file>

<file path=customXml/itemProps3.xml><?xml version="1.0" encoding="utf-8"?>
<ds:datastoreItem xmlns:ds="http://schemas.openxmlformats.org/officeDocument/2006/customXml" ds:itemID="{C75A18B9-A898-4F54-932C-7F670F93B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354fd-0e6d-4f7d-a250-cb06e9c80e6b"/>
    <ds:schemaRef ds:uri="8e8492c1-e43b-4f96-984d-3193346b28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B5EDE6-0FA6-45B4-A264-F59BBA6B56CF}">
  <ds:schemaRefs>
    <ds:schemaRef ds:uri="http://schemas.microsoft.com/office/2006/metadata/properties"/>
    <ds:schemaRef ds:uri="http://schemas.microsoft.com/office/infopath/2007/PartnerControls"/>
    <ds:schemaRef ds:uri="efe354fd-0e6d-4f7d-a250-cb06e9c80e6b"/>
    <ds:schemaRef ds:uri="8e8492c1-e43b-4f96-984d-3193346b2868"/>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7</Pages>
  <Words>4089</Words>
  <Characters>23308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Michaël</dc:creator>
  <cp:keywords/>
  <dc:description/>
  <cp:lastModifiedBy>Thibault, Michaël</cp:lastModifiedBy>
  <cp:revision>32</cp:revision>
  <cp:lastPrinted>2025-11-04T15:44:00Z</cp:lastPrinted>
  <dcterms:created xsi:type="dcterms:W3CDTF">2025-10-31T16:48:00Z</dcterms:created>
  <dcterms:modified xsi:type="dcterms:W3CDTF">2025-11-04T15:44:00Z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zotero-version="7.0.26"&gt;&lt;session id="CblItdQQ"/&gt;&lt;style id="http://www.zotero.org/styles/apa" locale="en-CA" hasBibliography="1" bibliographyStyleHasBeenSet="1"/&gt;&lt;prefs&gt;&lt;pref name="fieldType" value="Field"/&gt;&lt;/prefs&gt;&lt;/data&gt;</vt:lpwstr>
  </property>
  <property fmtid="{D5CDD505-2E9C-101B-9397-08002B2CF9AE}" pid="3" name="ContentTypeId">
    <vt:lpwstr>0x010100D41F9FC54BDDEE40858582B4768CEE29</vt:lpwstr>
  </property>
  <property fmtid="{D5CDD505-2E9C-101B-9397-08002B2CF9AE}" pid="4" name="MediaServiceImageTags">
    <vt:lpwstr/>
  </property>
</Properties>
</file>